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420" w:rsidRPr="001F4420" w:rsidRDefault="001F4420">
      <w:pPr>
        <w:rPr>
          <w:rFonts w:ascii="Arial" w:hAnsi="Arial" w:cs="Arial"/>
        </w:rPr>
      </w:pPr>
      <w:bookmarkStart w:id="0" w:name="_GoBack"/>
      <w:bookmarkEnd w:id="0"/>
      <w:r w:rsidRPr="001F4420">
        <w:rPr>
          <w:rFonts w:ascii="Arial" w:hAnsi="Arial" w:cs="Arial"/>
        </w:rPr>
        <w:t>HAKIJA ZAJMOVIĆ</w:t>
      </w:r>
    </w:p>
    <w:p w:rsidR="001F4420" w:rsidRPr="001F4420" w:rsidRDefault="001F4420">
      <w:pPr>
        <w:rPr>
          <w:rFonts w:ascii="Arial" w:hAnsi="Arial" w:cs="Arial"/>
        </w:rPr>
      </w:pPr>
      <w:r w:rsidRPr="001F4420">
        <w:rPr>
          <w:rFonts w:ascii="Arial" w:hAnsi="Arial" w:cs="Arial"/>
        </w:rPr>
        <w:t>STEČAJNI SUDIJA</w:t>
      </w:r>
    </w:p>
    <w:p w:rsidR="001F4420" w:rsidRPr="001F4420" w:rsidRDefault="001F4420">
      <w:pPr>
        <w:rPr>
          <w:rFonts w:ascii="Arial" w:hAnsi="Arial" w:cs="Arial"/>
        </w:rPr>
      </w:pPr>
    </w:p>
    <w:p w:rsidR="001F4420" w:rsidRPr="001F4420" w:rsidRDefault="001F4420">
      <w:pPr>
        <w:rPr>
          <w:rFonts w:ascii="Arial" w:hAnsi="Arial" w:cs="Arial"/>
        </w:rPr>
      </w:pPr>
    </w:p>
    <w:p w:rsidR="001F4420" w:rsidRPr="001F4420" w:rsidRDefault="001F4420" w:rsidP="001F4420">
      <w:pPr>
        <w:jc w:val="center"/>
        <w:rPr>
          <w:rFonts w:ascii="Arial" w:hAnsi="Arial" w:cs="Arial"/>
        </w:rPr>
      </w:pPr>
      <w:r w:rsidRPr="001F4420">
        <w:rPr>
          <w:rFonts w:ascii="Arial" w:hAnsi="Arial" w:cs="Arial"/>
        </w:rPr>
        <w:t>DILEME U SUDSKOJ PRAKSI STEČAJNIH POSTUPAKA U FEDERACIJE BIH</w:t>
      </w:r>
    </w:p>
    <w:p w:rsidR="001F4420" w:rsidRPr="001F4420" w:rsidRDefault="001F4420" w:rsidP="001F4420">
      <w:pPr>
        <w:jc w:val="center"/>
        <w:rPr>
          <w:rFonts w:ascii="Arial" w:hAnsi="Arial" w:cs="Arial"/>
        </w:rPr>
      </w:pPr>
    </w:p>
    <w:p w:rsidR="001F4420" w:rsidRPr="001F4420" w:rsidRDefault="001F4420" w:rsidP="001F4420">
      <w:pPr>
        <w:jc w:val="center"/>
        <w:rPr>
          <w:rFonts w:ascii="Arial" w:hAnsi="Arial" w:cs="Arial"/>
        </w:rPr>
      </w:pPr>
    </w:p>
    <w:p w:rsidR="001F4420" w:rsidRDefault="001F4420" w:rsidP="001F442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F4420">
        <w:rPr>
          <w:rFonts w:ascii="Arial" w:hAnsi="Arial" w:cs="Arial"/>
        </w:rPr>
        <w:t xml:space="preserve">Odluka Ustavnog suda </w:t>
      </w:r>
      <w:r w:rsidR="00AC2914">
        <w:rPr>
          <w:rFonts w:ascii="Arial" w:hAnsi="Arial" w:cs="Arial"/>
        </w:rPr>
        <w:t xml:space="preserve">Federacije BiH </w:t>
      </w:r>
      <w:r w:rsidRPr="001F4420">
        <w:rPr>
          <w:rFonts w:ascii="Arial" w:hAnsi="Arial" w:cs="Arial"/>
        </w:rPr>
        <w:t xml:space="preserve">od 23.03.2016. godine, kojom se </w:t>
      </w:r>
      <w:proofErr w:type="spellStart"/>
      <w:r w:rsidRPr="001F4420">
        <w:rPr>
          <w:rFonts w:ascii="Arial" w:hAnsi="Arial" w:cs="Arial"/>
        </w:rPr>
        <w:t>utvrdjuje</w:t>
      </w:r>
      <w:proofErr w:type="spellEnd"/>
      <w:r w:rsidRPr="001F4420">
        <w:rPr>
          <w:rFonts w:ascii="Arial" w:hAnsi="Arial" w:cs="Arial"/>
        </w:rPr>
        <w:t xml:space="preserve"> da članovi 33 i 40 Zakona o stečajnom postupku, nisu u saglasnosti sa Ustavom Bosne i </w:t>
      </w:r>
      <w:proofErr w:type="spellStart"/>
      <w:r w:rsidRPr="001F4420">
        <w:rPr>
          <w:rFonts w:ascii="Arial" w:hAnsi="Arial" w:cs="Arial"/>
        </w:rPr>
        <w:t>Herecegovine</w:t>
      </w:r>
      <w:proofErr w:type="spellEnd"/>
      <w:r w:rsidRPr="001F4420">
        <w:rPr>
          <w:rFonts w:ascii="Arial" w:hAnsi="Arial" w:cs="Arial"/>
        </w:rPr>
        <w:t>.</w:t>
      </w:r>
    </w:p>
    <w:p w:rsidR="00846D95" w:rsidRDefault="00846D95" w:rsidP="00846D95">
      <w:pPr>
        <w:rPr>
          <w:rFonts w:ascii="Arial" w:hAnsi="Arial" w:cs="Arial"/>
        </w:rPr>
      </w:pPr>
    </w:p>
    <w:p w:rsidR="00846D95" w:rsidRDefault="00846D95" w:rsidP="00846D9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Kako provoditi stečajni postupak kod ovakve presude </w:t>
      </w:r>
      <w:r w:rsidRPr="00E92AFF">
        <w:rPr>
          <w:rFonts w:ascii="Arial" w:hAnsi="Arial" w:cs="Arial"/>
        </w:rPr>
        <w:t>Ustavnog suda koja se odnosi na član 40 Zakona o stečajnom postupku</w:t>
      </w:r>
    </w:p>
    <w:p w:rsidR="003E69B8" w:rsidRDefault="003E69B8" w:rsidP="003E69B8">
      <w:pPr>
        <w:pStyle w:val="ListParagraph"/>
        <w:ind w:left="1349"/>
        <w:rPr>
          <w:rFonts w:ascii="Arial" w:hAnsi="Arial" w:cs="Arial"/>
        </w:rPr>
      </w:pPr>
    </w:p>
    <w:p w:rsidR="003E69B8" w:rsidRDefault="003E69B8" w:rsidP="002D44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Član 40 Zakona o stečajnom postupku </w:t>
      </w:r>
      <w:proofErr w:type="spellStart"/>
      <w:r>
        <w:rPr>
          <w:rFonts w:ascii="Arial" w:hAnsi="Arial" w:cs="Arial"/>
        </w:rPr>
        <w:t>glasi</w:t>
      </w:r>
      <w:proofErr w:type="spellEnd"/>
      <w:r>
        <w:rPr>
          <w:rFonts w:ascii="Arial" w:hAnsi="Arial" w:cs="Arial"/>
        </w:rPr>
        <w:t>:</w:t>
      </w:r>
    </w:p>
    <w:p w:rsidR="003E69B8" w:rsidRDefault="003E69B8" w:rsidP="002D445D">
      <w:pPr>
        <w:rPr>
          <w:rFonts w:ascii="Arial" w:hAnsi="Arial" w:cs="Arial"/>
        </w:rPr>
      </w:pPr>
    </w:p>
    <w:p w:rsidR="002D445D" w:rsidRDefault="002D445D" w:rsidP="002D445D">
      <w:pPr>
        <w:rPr>
          <w:rFonts w:ascii="Arial" w:hAnsi="Arial" w:cs="Arial"/>
        </w:rPr>
      </w:pPr>
      <w:r>
        <w:rPr>
          <w:rFonts w:ascii="Arial" w:hAnsi="Arial" w:cs="Arial"/>
        </w:rPr>
        <w:t>„Iz stečajne mase, prije stečajnih povjerilaca</w:t>
      </w:r>
      <w:r w:rsidR="00E92AF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namiruju se troškovi stečajnog postupka i dugovi stečajne mase</w:t>
      </w:r>
      <w:r w:rsidR="00E92AFF">
        <w:rPr>
          <w:rFonts w:ascii="Arial" w:hAnsi="Arial" w:cs="Arial"/>
        </w:rPr>
        <w:t>“.</w:t>
      </w:r>
    </w:p>
    <w:p w:rsidR="00E92AFF" w:rsidRDefault="00E92AFF" w:rsidP="002D445D">
      <w:pPr>
        <w:rPr>
          <w:rFonts w:ascii="Arial" w:hAnsi="Arial" w:cs="Arial"/>
        </w:rPr>
      </w:pPr>
    </w:p>
    <w:p w:rsidR="00E92AFF" w:rsidRDefault="00E92AFF" w:rsidP="002D445D">
      <w:pPr>
        <w:rPr>
          <w:rFonts w:ascii="Arial" w:hAnsi="Arial" w:cs="Arial"/>
        </w:rPr>
      </w:pPr>
      <w:r w:rsidRPr="00E92AFF">
        <w:rPr>
          <w:rFonts w:ascii="Arial" w:hAnsi="Arial" w:cs="Arial"/>
          <w:b/>
        </w:rPr>
        <w:t>Troškovi</w:t>
      </w:r>
      <w:r>
        <w:rPr>
          <w:rFonts w:ascii="Arial" w:hAnsi="Arial" w:cs="Arial"/>
        </w:rPr>
        <w:t xml:space="preserve"> stečajnog postupka</w:t>
      </w:r>
      <w:r w:rsidR="0000048F">
        <w:rPr>
          <w:rFonts w:ascii="Arial" w:hAnsi="Arial" w:cs="Arial"/>
        </w:rPr>
        <w:t xml:space="preserve"> (član 41)</w:t>
      </w:r>
      <w:r>
        <w:rPr>
          <w:rFonts w:ascii="Arial" w:hAnsi="Arial" w:cs="Arial"/>
        </w:rPr>
        <w:t xml:space="preserve"> su: </w:t>
      </w:r>
    </w:p>
    <w:p w:rsidR="00E92AFF" w:rsidRDefault="00E92AFF" w:rsidP="002D445D">
      <w:pPr>
        <w:rPr>
          <w:rFonts w:ascii="Arial" w:hAnsi="Arial" w:cs="Arial"/>
        </w:rPr>
      </w:pPr>
    </w:p>
    <w:p w:rsidR="00E92AFF" w:rsidRDefault="00E92AFF" w:rsidP="00E92AF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sudski troškovi stečajnog postupka</w:t>
      </w:r>
    </w:p>
    <w:p w:rsidR="00E92AFF" w:rsidRDefault="00E92AFF" w:rsidP="00E92AF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nagrade i izdaci vještaka, privremenog upravnika, stečajnog upravnika i članova privremenog odbora i odbora povjerilaca</w:t>
      </w:r>
    </w:p>
    <w:p w:rsidR="00E92AFF" w:rsidRDefault="00E92AFF" w:rsidP="00E92AF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drugi troškovi za koje je ovim ili drugim zakonom </w:t>
      </w:r>
      <w:proofErr w:type="spellStart"/>
      <w:r>
        <w:rPr>
          <w:rFonts w:ascii="Arial" w:hAnsi="Arial" w:cs="Arial"/>
        </w:rPr>
        <w:t>odredjeno</w:t>
      </w:r>
      <w:proofErr w:type="spellEnd"/>
      <w:r>
        <w:rPr>
          <w:rFonts w:ascii="Arial" w:hAnsi="Arial" w:cs="Arial"/>
        </w:rPr>
        <w:t xml:space="preserve"> da će se namirivati kao troškovi stečajnog postupka (predujam, član 13 stav 3 Zakona o stečajnom postupku)</w:t>
      </w:r>
    </w:p>
    <w:p w:rsidR="00E92AFF" w:rsidRDefault="00E92AFF" w:rsidP="00E92AFF">
      <w:pPr>
        <w:rPr>
          <w:rFonts w:ascii="Arial" w:hAnsi="Arial" w:cs="Arial"/>
        </w:rPr>
      </w:pPr>
    </w:p>
    <w:p w:rsidR="00E92AFF" w:rsidRDefault="00E92AFF" w:rsidP="00E92AFF">
      <w:pPr>
        <w:rPr>
          <w:rFonts w:ascii="Arial" w:hAnsi="Arial" w:cs="Arial"/>
        </w:rPr>
      </w:pPr>
      <w:r w:rsidRPr="00E92AFF">
        <w:rPr>
          <w:rFonts w:ascii="Arial" w:hAnsi="Arial" w:cs="Arial"/>
          <w:b/>
        </w:rPr>
        <w:t>Dugovi</w:t>
      </w:r>
      <w:r>
        <w:rPr>
          <w:rFonts w:ascii="Arial" w:hAnsi="Arial" w:cs="Arial"/>
        </w:rPr>
        <w:t xml:space="preserve"> stečajne mase</w:t>
      </w:r>
      <w:r w:rsidR="0000048F">
        <w:rPr>
          <w:rFonts w:ascii="Arial" w:hAnsi="Arial" w:cs="Arial"/>
        </w:rPr>
        <w:t xml:space="preserve"> (član 42)</w:t>
      </w:r>
      <w:r>
        <w:rPr>
          <w:rFonts w:ascii="Arial" w:hAnsi="Arial" w:cs="Arial"/>
        </w:rPr>
        <w:t xml:space="preserve"> su:</w:t>
      </w:r>
    </w:p>
    <w:p w:rsidR="00E92AFF" w:rsidRDefault="00E92AFF" w:rsidP="00E92AFF">
      <w:pPr>
        <w:rPr>
          <w:rFonts w:ascii="Arial" w:hAnsi="Arial" w:cs="Arial"/>
        </w:rPr>
      </w:pPr>
    </w:p>
    <w:p w:rsidR="00E92AFF" w:rsidRDefault="00E92AFF" w:rsidP="00E92AF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obaveze zasnovane radnjama stečajnog upravnika ili na drugi način upravljanjem, unovčavanjem i raspodjelom stečajne mase, koje ne spadaju u troškove stečajnog postupka</w:t>
      </w:r>
    </w:p>
    <w:p w:rsidR="00E92AFF" w:rsidRDefault="00E92AFF" w:rsidP="00E92AF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dvostrani obavezujući ugovori, ukoliko se njihovo ispunjenje zahtijeva za stečajnu masu ili ako njihovo ispunjenje mora da uslijedi nakon otvaranja stečajnog postupka</w:t>
      </w:r>
    </w:p>
    <w:p w:rsidR="00423D71" w:rsidRDefault="00423D71" w:rsidP="00E92AF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iz neosnovanog bogaćenja stečajne mase</w:t>
      </w:r>
    </w:p>
    <w:p w:rsidR="00B255DF" w:rsidRDefault="00B255DF" w:rsidP="00B255DF">
      <w:pPr>
        <w:rPr>
          <w:rFonts w:ascii="Arial" w:hAnsi="Arial" w:cs="Arial"/>
        </w:rPr>
      </w:pPr>
    </w:p>
    <w:p w:rsidR="00B255DF" w:rsidRDefault="00B255DF" w:rsidP="00B255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Skoro svaka radnja u stečajnom postupku proizvodi </w:t>
      </w:r>
      <w:proofErr w:type="spellStart"/>
      <w:r>
        <w:rPr>
          <w:rFonts w:ascii="Arial" w:hAnsi="Arial" w:cs="Arial"/>
        </w:rPr>
        <w:t>odredjene</w:t>
      </w:r>
      <w:proofErr w:type="spellEnd"/>
      <w:r>
        <w:rPr>
          <w:rFonts w:ascii="Arial" w:hAnsi="Arial" w:cs="Arial"/>
        </w:rPr>
        <w:t xml:space="preserve"> troškove i nemoguće je ostvariti bilo kakvu stečajnu masu bez </w:t>
      </w:r>
      <w:r w:rsidR="00AC2914">
        <w:rPr>
          <w:rFonts w:ascii="Arial" w:hAnsi="Arial" w:cs="Arial"/>
        </w:rPr>
        <w:t xml:space="preserve">da se proizvedu </w:t>
      </w:r>
      <w:proofErr w:type="spellStart"/>
      <w:r w:rsidR="00AC2914">
        <w:rPr>
          <w:rFonts w:ascii="Arial" w:hAnsi="Arial" w:cs="Arial"/>
        </w:rPr>
        <w:t>odredjeni</w:t>
      </w:r>
      <w:proofErr w:type="spellEnd"/>
      <w:r w:rsidR="00AC2914">
        <w:rPr>
          <w:rFonts w:ascii="Arial" w:hAnsi="Arial" w:cs="Arial"/>
        </w:rPr>
        <w:t xml:space="preserve"> troškovi i stvore obaveze po stečajnu masu, koje je potrebno izmiriti u </w:t>
      </w:r>
      <w:proofErr w:type="spellStart"/>
      <w:r w:rsidR="00AC2914">
        <w:rPr>
          <w:rFonts w:ascii="Arial" w:hAnsi="Arial" w:cs="Arial"/>
        </w:rPr>
        <w:t>odredjenim</w:t>
      </w:r>
      <w:proofErr w:type="spellEnd"/>
      <w:r w:rsidR="00AC2914">
        <w:rPr>
          <w:rFonts w:ascii="Arial" w:hAnsi="Arial" w:cs="Arial"/>
        </w:rPr>
        <w:t xml:space="preserve"> i zakonskim rokovima.</w:t>
      </w:r>
    </w:p>
    <w:p w:rsidR="00AC2914" w:rsidRDefault="00AC2914" w:rsidP="00B255DF">
      <w:pPr>
        <w:rPr>
          <w:rFonts w:ascii="Arial" w:hAnsi="Arial" w:cs="Arial"/>
        </w:rPr>
      </w:pPr>
    </w:p>
    <w:p w:rsidR="00AC2914" w:rsidRDefault="00AC2914" w:rsidP="00B255DF">
      <w:pPr>
        <w:rPr>
          <w:rFonts w:ascii="Arial" w:hAnsi="Arial" w:cs="Arial"/>
        </w:rPr>
      </w:pPr>
      <w:r>
        <w:rPr>
          <w:rFonts w:ascii="Arial" w:hAnsi="Arial" w:cs="Arial"/>
        </w:rPr>
        <w:t>Smatramo da u ovakvoj nastaloj situaciji nije moguće provoditi stečajne postupke, jer isplatom troškova i obaveza stečajne mase bi se postupalo suprotno Presudi Ustavnog suda Federacije BiH od 23.03.2016. godine.</w:t>
      </w:r>
    </w:p>
    <w:p w:rsidR="00AC2914" w:rsidRDefault="00AC2914" w:rsidP="00B255DF">
      <w:pPr>
        <w:rPr>
          <w:rFonts w:ascii="Arial" w:hAnsi="Arial" w:cs="Arial"/>
        </w:rPr>
      </w:pPr>
    </w:p>
    <w:p w:rsidR="00AC2914" w:rsidRDefault="00AC2914" w:rsidP="00AC291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Navedenom Presudom Ustavnog suda i član 33 stav 2 Zakona o stečajnom postupku je </w:t>
      </w:r>
      <w:proofErr w:type="spellStart"/>
      <w:r>
        <w:rPr>
          <w:rFonts w:ascii="Arial" w:hAnsi="Arial" w:cs="Arial"/>
        </w:rPr>
        <w:t>utvrdjeno</w:t>
      </w:r>
      <w:proofErr w:type="spellEnd"/>
      <w:r>
        <w:rPr>
          <w:rFonts w:ascii="Arial" w:hAnsi="Arial" w:cs="Arial"/>
        </w:rPr>
        <w:t xml:space="preserve"> da ni taj član nije u suglasnosti sa Ustavom Federacije Bosne i Hercegovine. </w:t>
      </w:r>
    </w:p>
    <w:p w:rsidR="00AC2914" w:rsidRDefault="00AC2914" w:rsidP="00AC29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Član 33 stav 2 Zakona o stečajnom postupku </w:t>
      </w:r>
      <w:proofErr w:type="spellStart"/>
      <w:r>
        <w:rPr>
          <w:rFonts w:ascii="Arial" w:hAnsi="Arial" w:cs="Arial"/>
        </w:rPr>
        <w:t>glasi</w:t>
      </w:r>
      <w:proofErr w:type="spellEnd"/>
      <w:r>
        <w:rPr>
          <w:rFonts w:ascii="Arial" w:hAnsi="Arial" w:cs="Arial"/>
        </w:rPr>
        <w:t>:</w:t>
      </w:r>
    </w:p>
    <w:p w:rsidR="00AC2914" w:rsidRDefault="00AC2914" w:rsidP="00AC2914">
      <w:pPr>
        <w:rPr>
          <w:rFonts w:ascii="Arial" w:hAnsi="Arial" w:cs="Arial"/>
        </w:rPr>
      </w:pPr>
    </w:p>
    <w:p w:rsidR="00AC2914" w:rsidRDefault="00AC2914" w:rsidP="00AC29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„Prije ostalih stečajnih povjerilaca, ali poslije povjerilaca iz stava 1 ovog člana, namiruju se zaposlenici stečajnog dužnika sa </w:t>
      </w:r>
      <w:proofErr w:type="spellStart"/>
      <w:r>
        <w:rPr>
          <w:rFonts w:ascii="Arial" w:hAnsi="Arial" w:cs="Arial"/>
        </w:rPr>
        <w:t>potraživanjima</w:t>
      </w:r>
      <w:proofErr w:type="spellEnd"/>
      <w:r>
        <w:rPr>
          <w:rFonts w:ascii="Arial" w:hAnsi="Arial" w:cs="Arial"/>
        </w:rPr>
        <w:t xml:space="preserve"> iz radnog odnosa za posljednjih osam mjeseci do dana otvaranja stečajnog postupka, a u visini najniže plaće za svaki mjesec, obračunate prema Općem kolektivnom ugovoru za teritorij Federacije Bosne i Hercegovine, u skladu sa zakonom. Isto vrijedi i za plaćanje naknada štete za povrede na radu koje se isplaćuju u punom iznosu.“</w:t>
      </w:r>
    </w:p>
    <w:p w:rsidR="00AC2914" w:rsidRDefault="00AC2914" w:rsidP="00AC2914">
      <w:pPr>
        <w:rPr>
          <w:rFonts w:ascii="Arial" w:hAnsi="Arial" w:cs="Arial"/>
        </w:rPr>
      </w:pPr>
    </w:p>
    <w:p w:rsidR="00AC2914" w:rsidRDefault="00AC2914" w:rsidP="00AC29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Postavlja se pitanje kako provoditi ispitna ročišta i </w:t>
      </w:r>
      <w:proofErr w:type="spellStart"/>
      <w:r>
        <w:rPr>
          <w:rFonts w:ascii="Arial" w:hAnsi="Arial" w:cs="Arial"/>
        </w:rPr>
        <w:t>utvrdjivat</w:t>
      </w:r>
      <w:r w:rsidR="000821AA">
        <w:rPr>
          <w:rFonts w:ascii="Arial" w:hAnsi="Arial" w:cs="Arial"/>
        </w:rPr>
        <w:t>i</w:t>
      </w:r>
      <w:proofErr w:type="spellEnd"/>
      <w:r w:rsidR="000821AA">
        <w:rPr>
          <w:rFonts w:ascii="Arial" w:hAnsi="Arial" w:cs="Arial"/>
        </w:rPr>
        <w:t xml:space="preserve"> tabele priznatih </w:t>
      </w:r>
      <w:proofErr w:type="spellStart"/>
      <w:r w:rsidR="000821AA">
        <w:rPr>
          <w:rFonts w:ascii="Arial" w:hAnsi="Arial" w:cs="Arial"/>
        </w:rPr>
        <w:t>potraživanja</w:t>
      </w:r>
      <w:proofErr w:type="spellEnd"/>
      <w:r w:rsidR="000821AA">
        <w:rPr>
          <w:rFonts w:ascii="Arial" w:hAnsi="Arial" w:cs="Arial"/>
        </w:rPr>
        <w:t xml:space="preserve">, kada nemamo odredbe koja propisuje u koji isplatni red svrstati </w:t>
      </w:r>
      <w:proofErr w:type="spellStart"/>
      <w:r w:rsidR="000821AA">
        <w:rPr>
          <w:rFonts w:ascii="Arial" w:hAnsi="Arial" w:cs="Arial"/>
        </w:rPr>
        <w:t>potraživanja</w:t>
      </w:r>
      <w:proofErr w:type="spellEnd"/>
      <w:r w:rsidR="000821AA">
        <w:rPr>
          <w:rFonts w:ascii="Arial" w:hAnsi="Arial" w:cs="Arial"/>
        </w:rPr>
        <w:t xml:space="preserve"> zaposlenika stečajnog dužnika.</w:t>
      </w:r>
    </w:p>
    <w:p w:rsidR="000821AA" w:rsidRDefault="000821AA" w:rsidP="00AC2914">
      <w:pPr>
        <w:rPr>
          <w:rFonts w:ascii="Arial" w:hAnsi="Arial" w:cs="Arial"/>
        </w:rPr>
      </w:pPr>
    </w:p>
    <w:p w:rsidR="000821AA" w:rsidRDefault="000821AA" w:rsidP="00AC29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Mišljenja smo da nije moguće ispitati prijave </w:t>
      </w:r>
      <w:proofErr w:type="spellStart"/>
      <w:r>
        <w:rPr>
          <w:rFonts w:ascii="Arial" w:hAnsi="Arial" w:cs="Arial"/>
        </w:rPr>
        <w:t>potraživanja</w:t>
      </w:r>
      <w:proofErr w:type="spellEnd"/>
      <w:r>
        <w:rPr>
          <w:rFonts w:ascii="Arial" w:hAnsi="Arial" w:cs="Arial"/>
        </w:rPr>
        <w:t xml:space="preserve"> zaposlenika, a samim tim nije moguće ni sačiniti tabelu </w:t>
      </w:r>
      <w:proofErr w:type="spellStart"/>
      <w:r>
        <w:rPr>
          <w:rFonts w:ascii="Arial" w:hAnsi="Arial" w:cs="Arial"/>
        </w:rPr>
        <w:t>utvrdjenih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potraživanja</w:t>
      </w:r>
      <w:proofErr w:type="spellEnd"/>
      <w:r>
        <w:rPr>
          <w:rFonts w:ascii="Arial" w:hAnsi="Arial" w:cs="Arial"/>
        </w:rPr>
        <w:t xml:space="preserve"> za zaposlenike i ranije zaposlenike stečajnog dužnika.</w:t>
      </w:r>
    </w:p>
    <w:p w:rsidR="000821AA" w:rsidRDefault="000821AA" w:rsidP="00AC2914">
      <w:pPr>
        <w:rPr>
          <w:rFonts w:ascii="Arial" w:hAnsi="Arial" w:cs="Arial"/>
        </w:rPr>
      </w:pPr>
    </w:p>
    <w:p w:rsidR="000821AA" w:rsidRPr="00AC2914" w:rsidRDefault="000821AA" w:rsidP="00AC2914">
      <w:pPr>
        <w:rPr>
          <w:rFonts w:ascii="Arial" w:hAnsi="Arial" w:cs="Arial"/>
        </w:rPr>
      </w:pPr>
      <w:r>
        <w:rPr>
          <w:rFonts w:ascii="Arial" w:hAnsi="Arial" w:cs="Arial"/>
        </w:rPr>
        <w:t>Slijedom svega navedenog, proizlazi da sve dok zakonodavna vlast ne postupi po odluci Ustavnog suda (</w:t>
      </w:r>
      <w:r w:rsidR="00B477DB">
        <w:rPr>
          <w:rFonts w:ascii="Arial" w:hAnsi="Arial" w:cs="Arial"/>
        </w:rPr>
        <w:t xml:space="preserve">donese nove odredbe članova 33 i 40 Zakona o stečajnom postupku), nije moguće na zakonit način provoditi stečajne postupke u Federaciji Bosne i Hercegovine. </w:t>
      </w:r>
      <w:r>
        <w:rPr>
          <w:rFonts w:ascii="Arial" w:hAnsi="Arial" w:cs="Arial"/>
        </w:rPr>
        <w:t xml:space="preserve"> </w:t>
      </w:r>
    </w:p>
    <w:p w:rsidR="00AC2914" w:rsidRDefault="00AC2914" w:rsidP="00B255DF">
      <w:pPr>
        <w:rPr>
          <w:rFonts w:ascii="Arial" w:hAnsi="Arial" w:cs="Arial"/>
        </w:rPr>
      </w:pPr>
    </w:p>
    <w:p w:rsidR="00AC2914" w:rsidRDefault="00AC2914" w:rsidP="003E69B8">
      <w:pPr>
        <w:rPr>
          <w:rFonts w:ascii="Arial" w:hAnsi="Arial" w:cs="Arial"/>
        </w:rPr>
      </w:pPr>
    </w:p>
    <w:p w:rsidR="003E69B8" w:rsidRDefault="00887708" w:rsidP="003E69B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Kako </w:t>
      </w:r>
      <w:proofErr w:type="spellStart"/>
      <w:r>
        <w:rPr>
          <w:rFonts w:ascii="Arial" w:hAnsi="Arial" w:cs="Arial"/>
        </w:rPr>
        <w:t>zaključiti</w:t>
      </w:r>
      <w:proofErr w:type="spellEnd"/>
      <w:r>
        <w:rPr>
          <w:rFonts w:ascii="Arial" w:hAnsi="Arial" w:cs="Arial"/>
        </w:rPr>
        <w:t xml:space="preserve"> stečajni postupak u situaciji kada stečajni upravnik u ime stečajnog dužnika pokrene izvršni postupak radi naplate </w:t>
      </w:r>
      <w:proofErr w:type="spellStart"/>
      <w:r>
        <w:rPr>
          <w:rFonts w:ascii="Arial" w:hAnsi="Arial" w:cs="Arial"/>
        </w:rPr>
        <w:t>potraživanja</w:t>
      </w:r>
      <w:proofErr w:type="spellEnd"/>
      <w:r>
        <w:rPr>
          <w:rFonts w:ascii="Arial" w:hAnsi="Arial" w:cs="Arial"/>
        </w:rPr>
        <w:t xml:space="preserve"> i kada izvršni sud rješenje o </w:t>
      </w:r>
      <w:proofErr w:type="spellStart"/>
      <w:r>
        <w:rPr>
          <w:rFonts w:ascii="Arial" w:hAnsi="Arial" w:cs="Arial"/>
        </w:rPr>
        <w:t>izvršenju</w:t>
      </w:r>
      <w:proofErr w:type="spellEnd"/>
      <w:r>
        <w:rPr>
          <w:rFonts w:ascii="Arial" w:hAnsi="Arial" w:cs="Arial"/>
        </w:rPr>
        <w:t xml:space="preserve"> dostavi na </w:t>
      </w:r>
      <w:proofErr w:type="spellStart"/>
      <w:r>
        <w:rPr>
          <w:rFonts w:ascii="Arial" w:hAnsi="Arial" w:cs="Arial"/>
        </w:rPr>
        <w:t>provodjenje</w:t>
      </w:r>
      <w:proofErr w:type="spellEnd"/>
      <w:r>
        <w:rPr>
          <w:rFonts w:ascii="Arial" w:hAnsi="Arial" w:cs="Arial"/>
        </w:rPr>
        <w:t xml:space="preserve">  Zavodu za penzijsko i invalidsko osiguranje, jer druge imovine </w:t>
      </w:r>
      <w:proofErr w:type="spellStart"/>
      <w:r>
        <w:rPr>
          <w:rFonts w:ascii="Arial" w:hAnsi="Arial" w:cs="Arial"/>
        </w:rPr>
        <w:t>izvršenik</w:t>
      </w:r>
      <w:proofErr w:type="spellEnd"/>
      <w:r>
        <w:rPr>
          <w:rFonts w:ascii="Arial" w:hAnsi="Arial" w:cs="Arial"/>
        </w:rPr>
        <w:t xml:space="preserve"> nema.</w:t>
      </w:r>
      <w:r w:rsidR="00C655B6">
        <w:rPr>
          <w:rFonts w:ascii="Arial" w:hAnsi="Arial" w:cs="Arial"/>
        </w:rPr>
        <w:t xml:space="preserve"> Radi se o</w:t>
      </w:r>
      <w:r w:rsidR="00CA005A">
        <w:rPr>
          <w:rFonts w:ascii="Arial" w:hAnsi="Arial" w:cs="Arial"/>
        </w:rPr>
        <w:t xml:space="preserve"> velikom </w:t>
      </w:r>
      <w:proofErr w:type="spellStart"/>
      <w:r w:rsidR="00CA005A">
        <w:rPr>
          <w:rFonts w:ascii="Arial" w:hAnsi="Arial" w:cs="Arial"/>
        </w:rPr>
        <w:t>potraživanju</w:t>
      </w:r>
      <w:proofErr w:type="spellEnd"/>
      <w:r w:rsidR="00CA005A">
        <w:rPr>
          <w:rFonts w:ascii="Arial" w:hAnsi="Arial" w:cs="Arial"/>
        </w:rPr>
        <w:t xml:space="preserve"> koje se na</w:t>
      </w:r>
      <w:r w:rsidR="00C655B6">
        <w:rPr>
          <w:rFonts w:ascii="Arial" w:hAnsi="Arial" w:cs="Arial"/>
        </w:rPr>
        <w:t xml:space="preserve">plaćuje od penzije </w:t>
      </w:r>
      <w:proofErr w:type="spellStart"/>
      <w:r w:rsidR="00C655B6">
        <w:rPr>
          <w:rFonts w:ascii="Arial" w:hAnsi="Arial" w:cs="Arial"/>
        </w:rPr>
        <w:t>izvršenika</w:t>
      </w:r>
      <w:proofErr w:type="spellEnd"/>
      <w:r w:rsidR="00C655B6">
        <w:rPr>
          <w:rFonts w:ascii="Arial" w:hAnsi="Arial" w:cs="Arial"/>
        </w:rPr>
        <w:t>.</w:t>
      </w:r>
    </w:p>
    <w:p w:rsidR="00C655B6" w:rsidRDefault="00C655B6" w:rsidP="00C655B6">
      <w:pPr>
        <w:rPr>
          <w:rFonts w:ascii="Arial" w:hAnsi="Arial" w:cs="Arial"/>
        </w:rPr>
      </w:pPr>
    </w:p>
    <w:p w:rsidR="00C655B6" w:rsidRDefault="00C655B6" w:rsidP="00C655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Mišljenja smo da se stečajni postupak može </w:t>
      </w:r>
      <w:proofErr w:type="spellStart"/>
      <w:r>
        <w:rPr>
          <w:rFonts w:ascii="Arial" w:hAnsi="Arial" w:cs="Arial"/>
        </w:rPr>
        <w:t>zaključiti</w:t>
      </w:r>
      <w:proofErr w:type="spellEnd"/>
      <w:r>
        <w:rPr>
          <w:rFonts w:ascii="Arial" w:hAnsi="Arial" w:cs="Arial"/>
        </w:rPr>
        <w:t xml:space="preserve">, da se novčana sredstva koja plijeni Zavod za penzijsko i invalidsko osiguranje uplaćuju na depozitni račun suda, a da se na prijedlog stečajnog upravnika, stečajnih povjerilaca, ili po službenoj dužnosti, nakon što se prikupi </w:t>
      </w:r>
      <w:proofErr w:type="spellStart"/>
      <w:r>
        <w:rPr>
          <w:rFonts w:ascii="Arial" w:hAnsi="Arial" w:cs="Arial"/>
        </w:rPr>
        <w:t>odredjena</w:t>
      </w:r>
      <w:proofErr w:type="spellEnd"/>
      <w:r>
        <w:rPr>
          <w:rFonts w:ascii="Arial" w:hAnsi="Arial" w:cs="Arial"/>
        </w:rPr>
        <w:t xml:space="preserve"> suma, odredi </w:t>
      </w:r>
      <w:r w:rsidRPr="00C655B6">
        <w:rPr>
          <w:rFonts w:ascii="Arial" w:hAnsi="Arial" w:cs="Arial"/>
          <w:b/>
        </w:rPr>
        <w:t>naknadna dioba</w:t>
      </w:r>
      <w:r w:rsidR="0080468C">
        <w:rPr>
          <w:rFonts w:ascii="Arial" w:hAnsi="Arial" w:cs="Arial"/>
        </w:rPr>
        <w:t>, (član 128).</w:t>
      </w:r>
    </w:p>
    <w:p w:rsidR="00E55B8D" w:rsidRDefault="00E55B8D" w:rsidP="00C655B6">
      <w:pPr>
        <w:rPr>
          <w:rFonts w:ascii="Arial" w:hAnsi="Arial" w:cs="Arial"/>
        </w:rPr>
      </w:pPr>
    </w:p>
    <w:p w:rsidR="00E55B8D" w:rsidRDefault="00E55B8D" w:rsidP="00C655B6">
      <w:pPr>
        <w:rPr>
          <w:rFonts w:ascii="Arial" w:hAnsi="Arial" w:cs="Arial"/>
        </w:rPr>
      </w:pPr>
    </w:p>
    <w:p w:rsidR="00E55B8D" w:rsidRDefault="00E55B8D" w:rsidP="00E55B8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Nadležnosti</w:t>
      </w:r>
      <w:proofErr w:type="spellEnd"/>
      <w:r>
        <w:rPr>
          <w:rFonts w:ascii="Arial" w:hAnsi="Arial" w:cs="Arial"/>
        </w:rPr>
        <w:t xml:space="preserve"> Odbora povjerilaca</w:t>
      </w:r>
    </w:p>
    <w:p w:rsidR="00E55B8D" w:rsidRDefault="00E55B8D" w:rsidP="00E55B8D">
      <w:pPr>
        <w:rPr>
          <w:rFonts w:ascii="Arial" w:hAnsi="Arial" w:cs="Arial"/>
        </w:rPr>
      </w:pPr>
    </w:p>
    <w:p w:rsidR="00E55B8D" w:rsidRDefault="00E55B8D" w:rsidP="00E55B8D">
      <w:pPr>
        <w:rPr>
          <w:rFonts w:ascii="Arial" w:hAnsi="Arial" w:cs="Arial"/>
        </w:rPr>
      </w:pPr>
      <w:r>
        <w:rPr>
          <w:rFonts w:ascii="Arial" w:hAnsi="Arial" w:cs="Arial"/>
        </w:rPr>
        <w:t>Član 29 stav 6 Zakona o stečajnom pos</w:t>
      </w:r>
      <w:r w:rsidR="00013B37">
        <w:rPr>
          <w:rFonts w:ascii="Arial" w:hAnsi="Arial" w:cs="Arial"/>
        </w:rPr>
        <w:t>t</w:t>
      </w:r>
      <w:r>
        <w:rPr>
          <w:rFonts w:ascii="Arial" w:hAnsi="Arial" w:cs="Arial"/>
        </w:rPr>
        <w:t>upku propisuje:</w:t>
      </w:r>
    </w:p>
    <w:p w:rsidR="00E55B8D" w:rsidRDefault="00E55B8D" w:rsidP="00E55B8D">
      <w:pPr>
        <w:rPr>
          <w:rFonts w:ascii="Arial" w:hAnsi="Arial" w:cs="Arial"/>
        </w:rPr>
      </w:pPr>
    </w:p>
    <w:p w:rsidR="00E55B8D" w:rsidRDefault="00E55B8D" w:rsidP="00E55B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„Za </w:t>
      </w:r>
      <w:r w:rsidRPr="00D0756C">
        <w:rPr>
          <w:rFonts w:ascii="Arial" w:hAnsi="Arial" w:cs="Arial"/>
          <w:b/>
        </w:rPr>
        <w:t>značajne</w:t>
      </w:r>
      <w:r>
        <w:rPr>
          <w:rFonts w:ascii="Arial" w:hAnsi="Arial" w:cs="Arial"/>
        </w:rPr>
        <w:t xml:space="preserve"> pravne poslove stečajnog postupka, uključujući preuzimanje obaveza, </w:t>
      </w:r>
      <w:proofErr w:type="spellStart"/>
      <w:r>
        <w:rPr>
          <w:rFonts w:ascii="Arial" w:hAnsi="Arial" w:cs="Arial"/>
        </w:rPr>
        <w:t>otudjenje</w:t>
      </w:r>
      <w:proofErr w:type="spellEnd"/>
      <w:r>
        <w:rPr>
          <w:rFonts w:ascii="Arial" w:hAnsi="Arial" w:cs="Arial"/>
        </w:rPr>
        <w:t xml:space="preserve"> i sticanje nekretnina, </w:t>
      </w:r>
      <w:proofErr w:type="spellStart"/>
      <w:r>
        <w:rPr>
          <w:rFonts w:ascii="Arial" w:hAnsi="Arial" w:cs="Arial"/>
        </w:rPr>
        <w:t>preduzeća</w:t>
      </w:r>
      <w:proofErr w:type="spellEnd"/>
      <w:r>
        <w:rPr>
          <w:rFonts w:ascii="Arial" w:hAnsi="Arial" w:cs="Arial"/>
        </w:rPr>
        <w:t xml:space="preserve"> u cjelini ili pojedini njegovih dijelova, pokretanje parnica ili zastupanje na parnicama, izrada nacrta stečajnog plana prije njegovog </w:t>
      </w:r>
      <w:proofErr w:type="spellStart"/>
      <w:r>
        <w:rPr>
          <w:rFonts w:ascii="Arial" w:hAnsi="Arial" w:cs="Arial"/>
        </w:rPr>
        <w:t>podnošenja</w:t>
      </w:r>
      <w:proofErr w:type="spellEnd"/>
      <w:r>
        <w:rPr>
          <w:rFonts w:ascii="Arial" w:hAnsi="Arial" w:cs="Arial"/>
        </w:rPr>
        <w:t xml:space="preserve"> sudu</w:t>
      </w:r>
      <w:r w:rsidR="00846D95">
        <w:rPr>
          <w:rFonts w:ascii="Arial" w:hAnsi="Arial" w:cs="Arial"/>
        </w:rPr>
        <w:t xml:space="preserve"> ili povjeriocima, te prijedloge za prekidanje poslovanja dužnika koje imaju znatan uticaj na obim imovine kojom se upravlja, potrebna je saglasnost odbora povjerilaca, </w:t>
      </w:r>
      <w:r w:rsidR="00013B37">
        <w:rPr>
          <w:rFonts w:ascii="Arial" w:hAnsi="Arial" w:cs="Arial"/>
        </w:rPr>
        <w:t>ukoliko je on postavljen.“</w:t>
      </w:r>
      <w:r w:rsidR="00846D95">
        <w:rPr>
          <w:rFonts w:ascii="Arial" w:hAnsi="Arial" w:cs="Arial"/>
        </w:rPr>
        <w:t xml:space="preserve"> </w:t>
      </w:r>
    </w:p>
    <w:p w:rsidR="00846D95" w:rsidRDefault="00846D95" w:rsidP="00E55B8D">
      <w:pPr>
        <w:rPr>
          <w:rFonts w:ascii="Arial" w:hAnsi="Arial" w:cs="Arial"/>
        </w:rPr>
      </w:pPr>
    </w:p>
    <w:p w:rsidR="00846D95" w:rsidRDefault="00846D95" w:rsidP="00E55B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Postavlja se pitanje da li odbor povjerilaca može donijeti odluku o visini nagrade i naknade za punomoćnika stečajnog dužnika koga je angažirao stečajni upravnik,  </w:t>
      </w:r>
      <w:r w:rsidR="00013B37">
        <w:rPr>
          <w:rFonts w:ascii="Arial" w:hAnsi="Arial" w:cs="Arial"/>
        </w:rPr>
        <w:t xml:space="preserve">na što </w:t>
      </w:r>
      <w:r>
        <w:rPr>
          <w:rFonts w:ascii="Arial" w:hAnsi="Arial" w:cs="Arial"/>
        </w:rPr>
        <w:t xml:space="preserve">je dao saglasnost odbor povjerilaca. </w:t>
      </w:r>
    </w:p>
    <w:p w:rsidR="00013B37" w:rsidRDefault="00013B37" w:rsidP="00E55B8D">
      <w:pPr>
        <w:rPr>
          <w:rFonts w:ascii="Arial" w:hAnsi="Arial" w:cs="Arial"/>
        </w:rPr>
      </w:pPr>
    </w:p>
    <w:p w:rsidR="00013B37" w:rsidRDefault="00013B37" w:rsidP="00E55B8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Članom 2 Zakona o stečajnom postupku propisani su</w:t>
      </w:r>
      <w:r w:rsidRPr="005554B3">
        <w:rPr>
          <w:rFonts w:ascii="Arial" w:hAnsi="Arial" w:cs="Arial"/>
          <w:b/>
        </w:rPr>
        <w:t xml:space="preserve"> ciljev</w:t>
      </w:r>
      <w:r>
        <w:rPr>
          <w:rFonts w:ascii="Arial" w:hAnsi="Arial" w:cs="Arial"/>
        </w:rPr>
        <w:t xml:space="preserve">i stečajnog postupka. U stavu prvom je propisano da stečajni postupak se provodi radi grupnog namirenja povjerilaca stečajnog dužnika unovčenjem njegove imovine i podjelom prikupljenih sredstava povjeriocima. </w:t>
      </w:r>
    </w:p>
    <w:p w:rsidR="00013B37" w:rsidRDefault="00013B37" w:rsidP="00E55B8D">
      <w:pPr>
        <w:rPr>
          <w:rFonts w:ascii="Arial" w:hAnsi="Arial" w:cs="Arial"/>
        </w:rPr>
      </w:pPr>
    </w:p>
    <w:p w:rsidR="00013B37" w:rsidRDefault="00013B37" w:rsidP="00E55B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Članom 101 stav 2 Zakona o stečajnom postupku je propisano da prilikom unovčenja imovine stečajne mase stečajni upravnik dužan je da se </w:t>
      </w:r>
      <w:r w:rsidRPr="00814A34">
        <w:rPr>
          <w:rFonts w:ascii="Arial" w:hAnsi="Arial" w:cs="Arial"/>
          <w:b/>
        </w:rPr>
        <w:t>pridržava odluke</w:t>
      </w:r>
      <w:r>
        <w:rPr>
          <w:rFonts w:ascii="Arial" w:hAnsi="Arial" w:cs="Arial"/>
        </w:rPr>
        <w:t xml:space="preserve"> skupštine ili odbora povjerilaca o uvjetima i načinu prodaje.</w:t>
      </w:r>
    </w:p>
    <w:p w:rsidR="00013B37" w:rsidRDefault="00013B37" w:rsidP="00E55B8D">
      <w:pPr>
        <w:rPr>
          <w:rFonts w:ascii="Arial" w:hAnsi="Arial" w:cs="Arial"/>
        </w:rPr>
      </w:pPr>
    </w:p>
    <w:p w:rsidR="00E129C4" w:rsidRDefault="005554B3" w:rsidP="00E55B8D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E129C4">
        <w:rPr>
          <w:rFonts w:ascii="Arial" w:hAnsi="Arial" w:cs="Arial"/>
        </w:rPr>
        <w:t>majući u vidu navedene odredbe, izvodimo zaključak da je odbor povjerilaca organ koga je izabrala skupština povjerilaca i kome je povjerila da pomaže stečajnom upravniku da što kvalitetnije unovči imovinu steč</w:t>
      </w:r>
      <w:r w:rsidR="00DC40E1">
        <w:rPr>
          <w:rFonts w:ascii="Arial" w:hAnsi="Arial" w:cs="Arial"/>
        </w:rPr>
        <w:t xml:space="preserve">ajnog dužnika, kako bi se u </w:t>
      </w:r>
      <w:r w:rsidR="00E129C4">
        <w:rPr>
          <w:rFonts w:ascii="Arial" w:hAnsi="Arial" w:cs="Arial"/>
        </w:rPr>
        <w:t xml:space="preserve">većem procentu, u konačnici, namirili povjerioci, što predstavlja osnovni cilj iz člana 2 Zakona o stečajnom postupku. U tom pravcu, odbor povjerilaca ima ovlaštenje donositi različite odluke, samo pod uslovom da je njihov cilj bolje i brže unovčenje imovine stečajnog dužnika. Svakako da prilikom donošenja odluka, odbor povjerilaca mora imati obrazloženje za svoje odluke </w:t>
      </w:r>
      <w:r w:rsidR="000214FE">
        <w:rPr>
          <w:rFonts w:ascii="Arial" w:hAnsi="Arial" w:cs="Arial"/>
        </w:rPr>
        <w:t xml:space="preserve">koje donosi. </w:t>
      </w:r>
    </w:p>
    <w:p w:rsidR="000214FE" w:rsidRDefault="000214FE" w:rsidP="00E55B8D">
      <w:pPr>
        <w:rPr>
          <w:rFonts w:ascii="Arial" w:hAnsi="Arial" w:cs="Arial"/>
        </w:rPr>
      </w:pPr>
    </w:p>
    <w:p w:rsidR="000214FE" w:rsidRDefault="000214FE" w:rsidP="00E55B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Tumačeći ovako navedene odredbe, mišljenja smo da odbor povjerilaca je ovlašten donositi odluke o </w:t>
      </w:r>
      <w:proofErr w:type="spellStart"/>
      <w:r>
        <w:rPr>
          <w:rFonts w:ascii="Arial" w:hAnsi="Arial" w:cs="Arial"/>
        </w:rPr>
        <w:t>nagradjivanju</w:t>
      </w:r>
      <w:proofErr w:type="spellEnd"/>
      <w:r>
        <w:rPr>
          <w:rFonts w:ascii="Arial" w:hAnsi="Arial" w:cs="Arial"/>
        </w:rPr>
        <w:t xml:space="preserve"> punomoćnika stečajnog dužnika, ukoliko se takvim odlukama </w:t>
      </w:r>
      <w:proofErr w:type="spellStart"/>
      <w:r>
        <w:rPr>
          <w:rFonts w:ascii="Arial" w:hAnsi="Arial" w:cs="Arial"/>
        </w:rPr>
        <w:t>kvalietnije</w:t>
      </w:r>
      <w:proofErr w:type="spellEnd"/>
      <w:r>
        <w:rPr>
          <w:rFonts w:ascii="Arial" w:hAnsi="Arial" w:cs="Arial"/>
        </w:rPr>
        <w:t xml:space="preserve"> i brže unovčava stečajna masa. </w:t>
      </w:r>
    </w:p>
    <w:p w:rsidR="005C1F52" w:rsidRDefault="005C1F52" w:rsidP="00E55B8D">
      <w:pPr>
        <w:rPr>
          <w:rFonts w:ascii="Arial" w:hAnsi="Arial" w:cs="Arial"/>
        </w:rPr>
      </w:pPr>
    </w:p>
    <w:p w:rsidR="005C1F52" w:rsidRDefault="005C1F52" w:rsidP="00E55B8D">
      <w:pPr>
        <w:rPr>
          <w:rFonts w:ascii="Arial" w:hAnsi="Arial" w:cs="Arial"/>
        </w:rPr>
      </w:pPr>
    </w:p>
    <w:p w:rsidR="005C1F52" w:rsidRDefault="005C1F52" w:rsidP="005C1F5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Prijava </w:t>
      </w:r>
      <w:proofErr w:type="spellStart"/>
      <w:r>
        <w:rPr>
          <w:rFonts w:ascii="Arial" w:hAnsi="Arial" w:cs="Arial"/>
        </w:rPr>
        <w:t>potraživanja</w:t>
      </w:r>
      <w:proofErr w:type="spellEnd"/>
      <w:r>
        <w:rPr>
          <w:rFonts w:ascii="Arial" w:hAnsi="Arial" w:cs="Arial"/>
        </w:rPr>
        <w:t xml:space="preserve"> zaposlenika i ranijih zaposlenika stečajnog dužnika</w:t>
      </w:r>
    </w:p>
    <w:p w:rsidR="005C1F52" w:rsidRDefault="005C1F52" w:rsidP="005C1F52">
      <w:pPr>
        <w:rPr>
          <w:rFonts w:ascii="Arial" w:hAnsi="Arial" w:cs="Arial"/>
        </w:rPr>
      </w:pPr>
    </w:p>
    <w:p w:rsidR="005C1F52" w:rsidRDefault="005C1F52" w:rsidP="005C1F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Članom 110 stav 3 Zakona o stečajnom postupku propisano je da će stečajni upravnik sastaviti popis svih </w:t>
      </w:r>
      <w:proofErr w:type="spellStart"/>
      <w:r>
        <w:rPr>
          <w:rFonts w:ascii="Arial" w:hAnsi="Arial" w:cs="Arial"/>
        </w:rPr>
        <w:t>potraživanja</w:t>
      </w:r>
      <w:proofErr w:type="spellEnd"/>
      <w:r>
        <w:rPr>
          <w:rFonts w:ascii="Arial" w:hAnsi="Arial" w:cs="Arial"/>
        </w:rPr>
        <w:t xml:space="preserve"> zaposlenika i ranijih zaposlenika stečajnog dužnika, dospjelih do otvaranja stečaja i </w:t>
      </w:r>
      <w:proofErr w:type="spellStart"/>
      <w:r>
        <w:rPr>
          <w:rFonts w:ascii="Arial" w:hAnsi="Arial" w:cs="Arial"/>
        </w:rPr>
        <w:t>predočii</w:t>
      </w:r>
      <w:proofErr w:type="spellEnd"/>
      <w:r>
        <w:rPr>
          <w:rFonts w:ascii="Arial" w:hAnsi="Arial" w:cs="Arial"/>
        </w:rPr>
        <w:t xml:space="preserve"> im na potpis prijavu njihovih </w:t>
      </w:r>
      <w:proofErr w:type="spellStart"/>
      <w:r>
        <w:rPr>
          <w:rFonts w:ascii="Arial" w:hAnsi="Arial" w:cs="Arial"/>
        </w:rPr>
        <w:t>potraživanja</w:t>
      </w:r>
      <w:proofErr w:type="spellEnd"/>
      <w:r>
        <w:rPr>
          <w:rFonts w:ascii="Arial" w:hAnsi="Arial" w:cs="Arial"/>
        </w:rPr>
        <w:t xml:space="preserve">, u dva primjerka. Zaposlenici i raniji zaposlenici mogu prijaviti razliku svojih </w:t>
      </w:r>
      <w:proofErr w:type="spellStart"/>
      <w:r>
        <w:rPr>
          <w:rFonts w:ascii="Arial" w:hAnsi="Arial" w:cs="Arial"/>
        </w:rPr>
        <w:t>potraživanja</w:t>
      </w:r>
      <w:proofErr w:type="spellEnd"/>
      <w:r>
        <w:rPr>
          <w:rFonts w:ascii="Arial" w:hAnsi="Arial" w:cs="Arial"/>
        </w:rPr>
        <w:t xml:space="preserve">, ako smatraju da popisom stečajnog upravnika njihova </w:t>
      </w:r>
      <w:proofErr w:type="spellStart"/>
      <w:r>
        <w:rPr>
          <w:rFonts w:ascii="Arial" w:hAnsi="Arial" w:cs="Arial"/>
        </w:rPr>
        <w:t>potraživanja</w:t>
      </w:r>
      <w:proofErr w:type="spellEnd"/>
      <w:r>
        <w:rPr>
          <w:rFonts w:ascii="Arial" w:hAnsi="Arial" w:cs="Arial"/>
        </w:rPr>
        <w:t xml:space="preserve"> nisu u cijelosti obuhvaćena. </w:t>
      </w:r>
    </w:p>
    <w:p w:rsidR="005C1F52" w:rsidRDefault="005C1F52" w:rsidP="005C1F52">
      <w:pPr>
        <w:rPr>
          <w:rFonts w:ascii="Arial" w:hAnsi="Arial" w:cs="Arial"/>
        </w:rPr>
      </w:pPr>
    </w:p>
    <w:p w:rsidR="005C1F52" w:rsidRDefault="005C1F52" w:rsidP="005C1F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Postavlja se pitanje kako postupiti sa prijavama </w:t>
      </w:r>
      <w:proofErr w:type="spellStart"/>
      <w:r>
        <w:rPr>
          <w:rFonts w:ascii="Arial" w:hAnsi="Arial" w:cs="Arial"/>
        </w:rPr>
        <w:t>potraživanja</w:t>
      </w:r>
      <w:proofErr w:type="spellEnd"/>
      <w:r>
        <w:rPr>
          <w:rFonts w:ascii="Arial" w:hAnsi="Arial" w:cs="Arial"/>
        </w:rPr>
        <w:t xml:space="preserve"> zaposlenika koji prijavljuju ukupna </w:t>
      </w:r>
      <w:proofErr w:type="spellStart"/>
      <w:r>
        <w:rPr>
          <w:rFonts w:ascii="Arial" w:hAnsi="Arial" w:cs="Arial"/>
        </w:rPr>
        <w:t>potraživanja</w:t>
      </w:r>
      <w:proofErr w:type="spellEnd"/>
      <w:r>
        <w:rPr>
          <w:rFonts w:ascii="Arial" w:hAnsi="Arial" w:cs="Arial"/>
        </w:rPr>
        <w:t xml:space="preserve">  prije popisa koji sačini stečajni upravnik i prije već što im stečajni upravnik da na potpis prijavu njihovih </w:t>
      </w:r>
      <w:proofErr w:type="spellStart"/>
      <w:r>
        <w:rPr>
          <w:rFonts w:ascii="Arial" w:hAnsi="Arial" w:cs="Arial"/>
        </w:rPr>
        <w:t>potraživanja</w:t>
      </w:r>
      <w:proofErr w:type="spellEnd"/>
      <w:r>
        <w:rPr>
          <w:rFonts w:ascii="Arial" w:hAnsi="Arial" w:cs="Arial"/>
        </w:rPr>
        <w:t xml:space="preserve">. </w:t>
      </w:r>
    </w:p>
    <w:p w:rsidR="005C1F52" w:rsidRDefault="005C1F52" w:rsidP="005C1F52">
      <w:pPr>
        <w:rPr>
          <w:rFonts w:ascii="Arial" w:hAnsi="Arial" w:cs="Arial"/>
        </w:rPr>
      </w:pPr>
    </w:p>
    <w:p w:rsidR="005C1F52" w:rsidRDefault="005C1F52" w:rsidP="005C1F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Smatramo da su takve prijave preuranjene i neuredne, iz razloga što je navedena odredba sasvim jasna u dijelu kojim se propisuje kada i šta </w:t>
      </w:r>
      <w:r w:rsidR="000968FD">
        <w:rPr>
          <w:rFonts w:ascii="Arial" w:hAnsi="Arial" w:cs="Arial"/>
        </w:rPr>
        <w:t xml:space="preserve">zaposlenik kao povjerilac može prijaviti. Prijava </w:t>
      </w:r>
      <w:proofErr w:type="spellStart"/>
      <w:r w:rsidR="000968FD">
        <w:rPr>
          <w:rFonts w:ascii="Arial" w:hAnsi="Arial" w:cs="Arial"/>
        </w:rPr>
        <w:t>potraživanja</w:t>
      </w:r>
      <w:proofErr w:type="spellEnd"/>
      <w:r w:rsidR="000968FD">
        <w:rPr>
          <w:rFonts w:ascii="Arial" w:hAnsi="Arial" w:cs="Arial"/>
        </w:rPr>
        <w:t xml:space="preserve"> svakako mora sadržavati iznose koje je naveo stečajni upravnik u svom popisu za svakog od zaposlenika, kao i razliku za koju povjerilac smatra da mu pripada. Tek ukoliko je prijava </w:t>
      </w:r>
      <w:proofErr w:type="spellStart"/>
      <w:r w:rsidR="000968FD">
        <w:rPr>
          <w:rFonts w:ascii="Arial" w:hAnsi="Arial" w:cs="Arial"/>
        </w:rPr>
        <w:t>potraživanja</w:t>
      </w:r>
      <w:proofErr w:type="spellEnd"/>
      <w:r w:rsidR="000968FD">
        <w:rPr>
          <w:rFonts w:ascii="Arial" w:hAnsi="Arial" w:cs="Arial"/>
        </w:rPr>
        <w:t xml:space="preserve"> sačinjena na</w:t>
      </w:r>
      <w:r w:rsidR="00B62EA8">
        <w:rPr>
          <w:rFonts w:ascii="Arial" w:hAnsi="Arial" w:cs="Arial"/>
        </w:rPr>
        <w:t xml:space="preserve"> </w:t>
      </w:r>
      <w:r w:rsidR="000968FD">
        <w:rPr>
          <w:rFonts w:ascii="Arial" w:hAnsi="Arial" w:cs="Arial"/>
        </w:rPr>
        <w:t xml:space="preserve">takav način, o njoj se može izjasniti stečajni upravnik. </w:t>
      </w:r>
    </w:p>
    <w:p w:rsidR="000968FD" w:rsidRDefault="000968FD" w:rsidP="005C1F52">
      <w:pPr>
        <w:rPr>
          <w:rFonts w:ascii="Arial" w:hAnsi="Arial" w:cs="Arial"/>
        </w:rPr>
      </w:pPr>
    </w:p>
    <w:p w:rsidR="000968FD" w:rsidRPr="005C1F52" w:rsidRDefault="000968FD" w:rsidP="005C1F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Ukoliko prijava nije sačinjena na naprijed navedeni način, o istoj bi se moglo odlučiti kao </w:t>
      </w:r>
      <w:r w:rsidR="007007BE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neurednoj prijavi.</w:t>
      </w:r>
    </w:p>
    <w:p w:rsidR="00E55B8D" w:rsidRDefault="00E55B8D" w:rsidP="00E55B8D">
      <w:pPr>
        <w:rPr>
          <w:rFonts w:ascii="Arial" w:hAnsi="Arial" w:cs="Arial"/>
        </w:rPr>
      </w:pPr>
    </w:p>
    <w:p w:rsidR="00E55B8D" w:rsidRPr="00E55B8D" w:rsidRDefault="00E55B8D" w:rsidP="00E55B8D">
      <w:pPr>
        <w:rPr>
          <w:rFonts w:ascii="Arial" w:hAnsi="Arial" w:cs="Arial"/>
        </w:rPr>
      </w:pPr>
    </w:p>
    <w:p w:rsidR="00E92AFF" w:rsidRPr="00E92AFF" w:rsidRDefault="00E92AFF" w:rsidP="00E92AFF">
      <w:pPr>
        <w:pStyle w:val="ListParagraph"/>
        <w:rPr>
          <w:rFonts w:ascii="Arial" w:hAnsi="Arial" w:cs="Arial"/>
        </w:rPr>
      </w:pPr>
    </w:p>
    <w:p w:rsidR="002D445D" w:rsidRDefault="002D445D" w:rsidP="002D445D">
      <w:pPr>
        <w:rPr>
          <w:rFonts w:ascii="Arial" w:hAnsi="Arial" w:cs="Arial"/>
        </w:rPr>
      </w:pPr>
    </w:p>
    <w:p w:rsidR="002D445D" w:rsidRPr="002D445D" w:rsidRDefault="002D445D" w:rsidP="002D445D">
      <w:pPr>
        <w:rPr>
          <w:rFonts w:ascii="Arial" w:hAnsi="Arial" w:cs="Arial"/>
        </w:rPr>
      </w:pPr>
    </w:p>
    <w:sectPr w:rsidR="002D445D" w:rsidRPr="002D445D" w:rsidSect="00B24669">
      <w:headerReference w:type="default" r:id="rId7"/>
      <w:pgSz w:w="11907" w:h="16840" w:code="9"/>
      <w:pgMar w:top="1418" w:right="1275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FFA" w:rsidRDefault="00DB5FFA" w:rsidP="00B24669">
      <w:r>
        <w:separator/>
      </w:r>
    </w:p>
  </w:endnote>
  <w:endnote w:type="continuationSeparator" w:id="0">
    <w:p w:rsidR="00DB5FFA" w:rsidRDefault="00DB5FFA" w:rsidP="00B24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FFA" w:rsidRDefault="00DB5FFA" w:rsidP="00B24669">
      <w:r>
        <w:separator/>
      </w:r>
    </w:p>
  </w:footnote>
  <w:footnote w:type="continuationSeparator" w:id="0">
    <w:p w:rsidR="00DB5FFA" w:rsidRDefault="00DB5FFA" w:rsidP="00B24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6203659"/>
      <w:docPartObj>
        <w:docPartGallery w:val="Page Numbers (Top of Page)"/>
        <w:docPartUnique/>
      </w:docPartObj>
    </w:sdtPr>
    <w:sdtEndPr>
      <w:rPr>
        <w:noProof/>
      </w:rPr>
    </w:sdtEndPr>
    <w:sdtContent>
      <w:p w:rsidR="00B24669" w:rsidRDefault="00B2466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1FE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24669" w:rsidRDefault="00B246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673BC"/>
    <w:multiLevelType w:val="hybridMultilevel"/>
    <w:tmpl w:val="87C4D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74A2E"/>
    <w:multiLevelType w:val="hybridMultilevel"/>
    <w:tmpl w:val="1C2665CC"/>
    <w:lvl w:ilvl="0" w:tplc="0409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2" w15:restartNumberingAfterBreak="0">
    <w:nsid w:val="2CA0276B"/>
    <w:multiLevelType w:val="hybridMultilevel"/>
    <w:tmpl w:val="C30AF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028A5"/>
    <w:multiLevelType w:val="hybridMultilevel"/>
    <w:tmpl w:val="028C073E"/>
    <w:lvl w:ilvl="0" w:tplc="63C6170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B6F00"/>
    <w:multiLevelType w:val="hybridMultilevel"/>
    <w:tmpl w:val="5BB0E5D8"/>
    <w:lvl w:ilvl="0" w:tplc="C1B281A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86B53"/>
    <w:multiLevelType w:val="hybridMultilevel"/>
    <w:tmpl w:val="2DE63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14886"/>
    <w:multiLevelType w:val="hybridMultilevel"/>
    <w:tmpl w:val="25489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BD37EA"/>
    <w:multiLevelType w:val="hybridMultilevel"/>
    <w:tmpl w:val="999EE7D6"/>
    <w:lvl w:ilvl="0" w:tplc="63C6170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420"/>
    <w:rsid w:val="0000048F"/>
    <w:rsid w:val="00013B37"/>
    <w:rsid w:val="000214FE"/>
    <w:rsid w:val="000821AA"/>
    <w:rsid w:val="000968FD"/>
    <w:rsid w:val="000B3592"/>
    <w:rsid w:val="001455E0"/>
    <w:rsid w:val="0018390B"/>
    <w:rsid w:val="001915DE"/>
    <w:rsid w:val="001B232D"/>
    <w:rsid w:val="001F4420"/>
    <w:rsid w:val="002103A1"/>
    <w:rsid w:val="0022461F"/>
    <w:rsid w:val="00293740"/>
    <w:rsid w:val="002D445D"/>
    <w:rsid w:val="002E78F7"/>
    <w:rsid w:val="00342C15"/>
    <w:rsid w:val="003B1FE8"/>
    <w:rsid w:val="003E69B8"/>
    <w:rsid w:val="00423D71"/>
    <w:rsid w:val="005554B3"/>
    <w:rsid w:val="005C1F52"/>
    <w:rsid w:val="00684E2B"/>
    <w:rsid w:val="007007BE"/>
    <w:rsid w:val="0080468C"/>
    <w:rsid w:val="00805099"/>
    <w:rsid w:val="00814A34"/>
    <w:rsid w:val="00846D95"/>
    <w:rsid w:val="008757D4"/>
    <w:rsid w:val="00887708"/>
    <w:rsid w:val="008D2433"/>
    <w:rsid w:val="00AA79BE"/>
    <w:rsid w:val="00AB6561"/>
    <w:rsid w:val="00AC2914"/>
    <w:rsid w:val="00AE623D"/>
    <w:rsid w:val="00B24669"/>
    <w:rsid w:val="00B255DF"/>
    <w:rsid w:val="00B477DB"/>
    <w:rsid w:val="00B620CE"/>
    <w:rsid w:val="00B62EA8"/>
    <w:rsid w:val="00B85B43"/>
    <w:rsid w:val="00C655B6"/>
    <w:rsid w:val="00CA005A"/>
    <w:rsid w:val="00CB160E"/>
    <w:rsid w:val="00D0756C"/>
    <w:rsid w:val="00D379FF"/>
    <w:rsid w:val="00DB5FFA"/>
    <w:rsid w:val="00DC40E1"/>
    <w:rsid w:val="00E129C4"/>
    <w:rsid w:val="00E55B8D"/>
    <w:rsid w:val="00E5689C"/>
    <w:rsid w:val="00E92AFF"/>
    <w:rsid w:val="00F8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2A2A23-67E4-419D-87C6-0DC0EB903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4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4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48F"/>
    <w:rPr>
      <w:rFonts w:ascii="Segoe UI" w:hAnsi="Segoe UI" w:cs="Segoe UI"/>
      <w:sz w:val="18"/>
      <w:szCs w:val="18"/>
      <w:lang w:val="bs-Latn-BA"/>
    </w:rPr>
  </w:style>
  <w:style w:type="paragraph" w:styleId="Header">
    <w:name w:val="header"/>
    <w:basedOn w:val="Normal"/>
    <w:link w:val="HeaderChar"/>
    <w:uiPriority w:val="99"/>
    <w:unhideWhenUsed/>
    <w:rsid w:val="00B246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669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B246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669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Mula Sukalo</dc:creator>
  <cp:keywords/>
  <dc:description/>
  <cp:lastModifiedBy>Hakija Zajmovic</cp:lastModifiedBy>
  <cp:revision>2</cp:revision>
  <cp:lastPrinted>2017-06-06T09:14:00Z</cp:lastPrinted>
  <dcterms:created xsi:type="dcterms:W3CDTF">2017-06-07T07:34:00Z</dcterms:created>
  <dcterms:modified xsi:type="dcterms:W3CDTF">2017-06-07T07:34:00Z</dcterms:modified>
</cp:coreProperties>
</file>