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E5" w:rsidRPr="00D32E12" w:rsidRDefault="00E123E5" w:rsidP="00E123E5">
      <w:pPr>
        <w:rPr>
          <w:sz w:val="24"/>
          <w:szCs w:val="24"/>
        </w:rPr>
      </w:pPr>
    </w:p>
    <w:p w:rsidR="00E123E5" w:rsidRPr="0021017A" w:rsidRDefault="00E123E5" w:rsidP="00E123E5">
      <w:pPr>
        <w:rPr>
          <w:b/>
          <w:sz w:val="24"/>
          <w:szCs w:val="24"/>
        </w:rPr>
      </w:pPr>
      <w:r w:rsidRPr="0021017A">
        <w:rPr>
          <w:b/>
          <w:sz w:val="24"/>
          <w:szCs w:val="24"/>
        </w:rPr>
        <w:t>REPUBLIKA HRVATSKA</w:t>
      </w:r>
    </w:p>
    <w:p w:rsidR="00E123E5" w:rsidRPr="0021017A" w:rsidRDefault="00E123E5" w:rsidP="00E123E5">
      <w:pPr>
        <w:rPr>
          <w:b/>
          <w:sz w:val="24"/>
          <w:szCs w:val="24"/>
        </w:rPr>
      </w:pPr>
      <w:r w:rsidRPr="0021017A">
        <w:rPr>
          <w:b/>
          <w:sz w:val="24"/>
          <w:szCs w:val="24"/>
        </w:rPr>
        <w:t>TRGOVAČKI SUD U ZAGREBU</w:t>
      </w:r>
    </w:p>
    <w:p w:rsidR="00E123E5" w:rsidRPr="0021017A" w:rsidRDefault="00E123E5" w:rsidP="00E123E5">
      <w:pPr>
        <w:rPr>
          <w:sz w:val="24"/>
          <w:szCs w:val="24"/>
        </w:rPr>
      </w:pPr>
      <w:r w:rsidRPr="0021017A">
        <w:rPr>
          <w:b/>
          <w:sz w:val="24"/>
          <w:szCs w:val="24"/>
        </w:rPr>
        <w:t>Zagreb, Amruševa 2/II</w:t>
      </w:r>
      <w:r w:rsidR="00D14334" w:rsidRPr="0021017A">
        <w:rPr>
          <w:sz w:val="24"/>
          <w:szCs w:val="24"/>
        </w:rPr>
        <w:t xml:space="preserve">     </w:t>
      </w:r>
      <w:r w:rsidR="00D14334" w:rsidRPr="0021017A">
        <w:rPr>
          <w:sz w:val="24"/>
          <w:szCs w:val="24"/>
        </w:rPr>
        <w:tab/>
      </w:r>
      <w:r w:rsidR="00D14334" w:rsidRPr="0021017A">
        <w:rPr>
          <w:sz w:val="24"/>
          <w:szCs w:val="24"/>
        </w:rPr>
        <w:tab/>
      </w:r>
      <w:r w:rsidR="00D14334" w:rsidRPr="0021017A">
        <w:rPr>
          <w:sz w:val="24"/>
          <w:szCs w:val="24"/>
        </w:rPr>
        <w:tab/>
      </w:r>
      <w:r w:rsidR="00D14334" w:rsidRPr="0021017A">
        <w:rPr>
          <w:sz w:val="24"/>
          <w:szCs w:val="24"/>
        </w:rPr>
        <w:tab/>
      </w:r>
      <w:r w:rsidR="00D14334" w:rsidRPr="0021017A">
        <w:rPr>
          <w:sz w:val="24"/>
          <w:szCs w:val="24"/>
        </w:rPr>
        <w:tab/>
      </w:r>
      <w:r w:rsidR="00D14334" w:rsidRPr="0021017A">
        <w:rPr>
          <w:sz w:val="24"/>
          <w:szCs w:val="24"/>
        </w:rPr>
        <w:tab/>
        <w:t xml:space="preserve"> St-</w:t>
      </w:r>
      <w:r w:rsidR="00312560" w:rsidRPr="0021017A">
        <w:rPr>
          <w:sz w:val="24"/>
          <w:szCs w:val="24"/>
        </w:rPr>
        <w:t>.............</w:t>
      </w:r>
      <w:r w:rsidR="00D14334" w:rsidRPr="0021017A">
        <w:rPr>
          <w:sz w:val="24"/>
          <w:szCs w:val="24"/>
        </w:rPr>
        <w:t>/2015</w:t>
      </w:r>
    </w:p>
    <w:p w:rsidR="00E123E5" w:rsidRPr="0021017A" w:rsidRDefault="00E123E5" w:rsidP="00E123E5">
      <w:pPr>
        <w:rPr>
          <w:sz w:val="24"/>
          <w:szCs w:val="24"/>
        </w:rPr>
      </w:pPr>
    </w:p>
    <w:p w:rsidR="00E123E5" w:rsidRPr="0021017A" w:rsidRDefault="00E123E5" w:rsidP="00E123E5">
      <w:pPr>
        <w:jc w:val="center"/>
        <w:rPr>
          <w:sz w:val="24"/>
          <w:szCs w:val="24"/>
        </w:rPr>
      </w:pPr>
      <w:r w:rsidRPr="0021017A">
        <w:rPr>
          <w:sz w:val="24"/>
          <w:szCs w:val="24"/>
        </w:rPr>
        <w:t>R E P U B L I K A   H R V A T S K A</w:t>
      </w:r>
    </w:p>
    <w:p w:rsidR="00E123E5" w:rsidRPr="0021017A" w:rsidRDefault="00E123E5" w:rsidP="00E123E5">
      <w:pPr>
        <w:jc w:val="center"/>
        <w:rPr>
          <w:sz w:val="24"/>
          <w:szCs w:val="24"/>
        </w:rPr>
      </w:pPr>
      <w:r w:rsidRPr="0021017A">
        <w:rPr>
          <w:sz w:val="24"/>
          <w:szCs w:val="24"/>
        </w:rPr>
        <w:t>R J E Š E NJ E</w:t>
      </w:r>
    </w:p>
    <w:p w:rsidR="00E123E5" w:rsidRPr="0021017A" w:rsidRDefault="00E123E5" w:rsidP="00E123E5">
      <w:pPr>
        <w:jc w:val="both"/>
        <w:rPr>
          <w:sz w:val="24"/>
          <w:szCs w:val="24"/>
        </w:rPr>
      </w:pPr>
    </w:p>
    <w:p w:rsidR="00E123E5" w:rsidRPr="0021017A" w:rsidRDefault="00E123E5" w:rsidP="00E123E5">
      <w:pPr>
        <w:ind w:firstLine="708"/>
        <w:jc w:val="both"/>
        <w:rPr>
          <w:sz w:val="24"/>
          <w:szCs w:val="24"/>
        </w:rPr>
      </w:pPr>
      <w:r w:rsidRPr="0021017A">
        <w:rPr>
          <w:sz w:val="24"/>
          <w:szCs w:val="24"/>
        </w:rPr>
        <w:t xml:space="preserve">Trgovački sud u Zagrebu, po sucu </w:t>
      </w:r>
      <w:r w:rsidR="00312560" w:rsidRPr="0021017A">
        <w:rPr>
          <w:sz w:val="24"/>
          <w:szCs w:val="24"/>
        </w:rPr>
        <w:t xml:space="preserve">Ivanu Iviću </w:t>
      </w:r>
      <w:r w:rsidRPr="0021017A">
        <w:rPr>
          <w:sz w:val="24"/>
          <w:szCs w:val="24"/>
        </w:rPr>
        <w:t xml:space="preserve">, u </w:t>
      </w:r>
      <w:r w:rsidR="00312560" w:rsidRPr="0021017A">
        <w:rPr>
          <w:sz w:val="24"/>
          <w:szCs w:val="24"/>
        </w:rPr>
        <w:t xml:space="preserve">predstečajnom postupku </w:t>
      </w:r>
      <w:r w:rsidRPr="0021017A">
        <w:rPr>
          <w:sz w:val="24"/>
          <w:szCs w:val="24"/>
        </w:rPr>
        <w:t>povod</w:t>
      </w:r>
      <w:r w:rsidR="00312560" w:rsidRPr="0021017A">
        <w:rPr>
          <w:sz w:val="24"/>
          <w:szCs w:val="24"/>
        </w:rPr>
        <w:t>om</w:t>
      </w:r>
      <w:r w:rsidRPr="0021017A">
        <w:rPr>
          <w:sz w:val="24"/>
          <w:szCs w:val="24"/>
        </w:rPr>
        <w:t xml:space="preserve"> prijedloga dužnika </w:t>
      </w:r>
      <w:r w:rsidR="00312560" w:rsidRPr="0021017A">
        <w:rPr>
          <w:sz w:val="24"/>
          <w:szCs w:val="24"/>
        </w:rPr>
        <w:t>TVRTKA JEDAN</w:t>
      </w:r>
      <w:r w:rsidRPr="0021017A">
        <w:rPr>
          <w:sz w:val="24"/>
          <w:szCs w:val="24"/>
        </w:rPr>
        <w:t xml:space="preserve"> d.o.o., Zagreb, Matije Divkovića 25, OIB: </w:t>
      </w:r>
      <w:r w:rsidR="0001749A">
        <w:rPr>
          <w:sz w:val="24"/>
          <w:szCs w:val="24"/>
        </w:rPr>
        <w:t>555</w:t>
      </w:r>
      <w:r w:rsidRPr="0021017A">
        <w:rPr>
          <w:sz w:val="24"/>
          <w:szCs w:val="24"/>
        </w:rPr>
        <w:t xml:space="preserve">, nakon održavanja ročišta radi ispitivanja tražbina održanog dana 23. prosinca 2015. godine, dana 23. prosinca 2015. godine, </w:t>
      </w:r>
    </w:p>
    <w:p w:rsidR="00E123E5" w:rsidRPr="0021017A" w:rsidRDefault="00E123E5" w:rsidP="00E123E5">
      <w:pPr>
        <w:jc w:val="center"/>
        <w:rPr>
          <w:sz w:val="24"/>
          <w:szCs w:val="24"/>
        </w:rPr>
      </w:pPr>
    </w:p>
    <w:p w:rsidR="00E123E5" w:rsidRPr="0021017A" w:rsidRDefault="00E123E5" w:rsidP="00E123E5">
      <w:pPr>
        <w:jc w:val="center"/>
        <w:rPr>
          <w:sz w:val="24"/>
          <w:szCs w:val="24"/>
        </w:rPr>
      </w:pPr>
      <w:r w:rsidRPr="0021017A">
        <w:rPr>
          <w:b/>
          <w:sz w:val="24"/>
          <w:szCs w:val="24"/>
        </w:rPr>
        <w:t>r i j e š i o  j e</w:t>
      </w:r>
    </w:p>
    <w:p w:rsidR="00E123E5" w:rsidRPr="0021017A" w:rsidRDefault="00E123E5" w:rsidP="00E123E5">
      <w:pPr>
        <w:jc w:val="both"/>
        <w:rPr>
          <w:sz w:val="24"/>
          <w:szCs w:val="24"/>
        </w:rPr>
      </w:pPr>
    </w:p>
    <w:p w:rsidR="001B4309" w:rsidRPr="0021017A" w:rsidRDefault="00B11143" w:rsidP="0021017A">
      <w:pPr>
        <w:jc w:val="both"/>
        <w:rPr>
          <w:b/>
          <w:sz w:val="24"/>
          <w:szCs w:val="24"/>
        </w:rPr>
      </w:pPr>
      <w:r w:rsidRPr="0021017A">
        <w:rPr>
          <w:b/>
          <w:sz w:val="24"/>
          <w:szCs w:val="24"/>
        </w:rPr>
        <w:t xml:space="preserve">I          Uskraćuje se potvrda predstečajnog sporazuma i obustavlja postupak za dužnika </w:t>
      </w:r>
      <w:r w:rsidRPr="0021017A">
        <w:rPr>
          <w:sz w:val="24"/>
          <w:szCs w:val="24"/>
        </w:rPr>
        <w:t xml:space="preserve">TVRTKA JEDAN d.o.o., Zagreb, Matije Divkovića 25, OIB: </w:t>
      </w:r>
      <w:r w:rsidR="0001749A">
        <w:rPr>
          <w:sz w:val="24"/>
          <w:szCs w:val="24"/>
        </w:rPr>
        <w:t>555</w:t>
      </w:r>
      <w:bookmarkStart w:id="0" w:name="_GoBack"/>
      <w:bookmarkEnd w:id="0"/>
      <w:r w:rsidRPr="0021017A">
        <w:rPr>
          <w:sz w:val="24"/>
          <w:szCs w:val="24"/>
        </w:rPr>
        <w:t>.</w:t>
      </w:r>
    </w:p>
    <w:p w:rsidR="001B4309" w:rsidRPr="0021017A" w:rsidRDefault="001B4309" w:rsidP="001B4309">
      <w:pPr>
        <w:ind w:left="708" w:firstLine="12"/>
        <w:jc w:val="both"/>
        <w:rPr>
          <w:sz w:val="24"/>
          <w:szCs w:val="24"/>
        </w:rPr>
      </w:pPr>
    </w:p>
    <w:p w:rsidR="00E123E5" w:rsidRPr="0021017A" w:rsidRDefault="00E123E5" w:rsidP="00E123E5">
      <w:pPr>
        <w:jc w:val="center"/>
        <w:rPr>
          <w:sz w:val="24"/>
          <w:szCs w:val="24"/>
        </w:rPr>
      </w:pPr>
      <w:r w:rsidRPr="0021017A">
        <w:rPr>
          <w:sz w:val="24"/>
          <w:szCs w:val="24"/>
        </w:rPr>
        <w:t>Obrazloženje</w:t>
      </w:r>
    </w:p>
    <w:p w:rsidR="00E123E5" w:rsidRPr="0021017A" w:rsidRDefault="00E123E5" w:rsidP="00E123E5">
      <w:pPr>
        <w:jc w:val="center"/>
        <w:rPr>
          <w:sz w:val="24"/>
          <w:szCs w:val="24"/>
        </w:rPr>
      </w:pPr>
    </w:p>
    <w:p w:rsidR="00A64332" w:rsidRPr="0021017A" w:rsidRDefault="00E123E5" w:rsidP="00E123E5">
      <w:pPr>
        <w:jc w:val="both"/>
        <w:rPr>
          <w:sz w:val="24"/>
          <w:szCs w:val="24"/>
        </w:rPr>
      </w:pPr>
      <w:r w:rsidRPr="0021017A">
        <w:rPr>
          <w:sz w:val="24"/>
          <w:szCs w:val="24"/>
        </w:rPr>
        <w:t xml:space="preserve">Na </w:t>
      </w:r>
      <w:r w:rsidR="00C01B1B" w:rsidRPr="0021017A">
        <w:rPr>
          <w:sz w:val="24"/>
          <w:szCs w:val="24"/>
        </w:rPr>
        <w:t xml:space="preserve">ročištu radi </w:t>
      </w:r>
      <w:r w:rsidR="00A64332" w:rsidRPr="0021017A">
        <w:rPr>
          <w:sz w:val="24"/>
          <w:szCs w:val="24"/>
        </w:rPr>
        <w:t xml:space="preserve">glasovanju o planu restrukturiranja koje je održano protekom 30 dana od pravomoćnosti rješenja o utvrđenim tražbinama vjerovnici su prihvatili plan restrukturiranja na način da je za isti glasovalo 27 vjerovnika ( od 33 utvrđena ) i da  zbroj tražbina vjerovnika koji su glasovali predstavlja 74 % svih utvrđenih tražbina. </w:t>
      </w:r>
    </w:p>
    <w:p w:rsidR="0021017A" w:rsidRDefault="00A64332" w:rsidP="0021017A">
      <w:pPr>
        <w:jc w:val="both"/>
        <w:rPr>
          <w:color w:val="000000"/>
          <w:sz w:val="24"/>
          <w:szCs w:val="24"/>
        </w:rPr>
      </w:pPr>
      <w:r w:rsidRPr="0021017A">
        <w:rPr>
          <w:sz w:val="24"/>
          <w:szCs w:val="24"/>
        </w:rPr>
        <w:t xml:space="preserve">Temljem odredbe </w:t>
      </w:r>
      <w:r w:rsidR="00C01B1B" w:rsidRPr="0021017A">
        <w:rPr>
          <w:sz w:val="24"/>
          <w:szCs w:val="24"/>
        </w:rPr>
        <w:t xml:space="preserve"> članka </w:t>
      </w:r>
      <w:r w:rsidRPr="0021017A">
        <w:rPr>
          <w:sz w:val="24"/>
          <w:szCs w:val="24"/>
        </w:rPr>
        <w:t>5</w:t>
      </w:r>
      <w:r w:rsidR="00C01B1B" w:rsidRPr="0021017A">
        <w:rPr>
          <w:sz w:val="24"/>
          <w:szCs w:val="24"/>
        </w:rPr>
        <w:t>9. Stečajnog zakona („Narodne no</w:t>
      </w:r>
      <w:r w:rsidRPr="0021017A">
        <w:rPr>
          <w:sz w:val="24"/>
          <w:szCs w:val="24"/>
        </w:rPr>
        <w:t xml:space="preserve">vine“ broj: 71/2015: dalje SZ) ostvarena je kvalificirana većina glasova vjerovnika. Sud je utvrdio da nema pretpostavki za </w:t>
      </w:r>
      <w:r w:rsidR="005860CA" w:rsidRPr="0021017A">
        <w:rPr>
          <w:sz w:val="24"/>
          <w:szCs w:val="24"/>
        </w:rPr>
        <w:t xml:space="preserve">uskratu odobravanja sporazuma od strane suda iz članka 61. SZ-a.. Prema navedenoj zakonskoj odredbi  sud neće utvrditi prihvaćanje plana restrukturiranja ako </w:t>
      </w:r>
      <w:r w:rsidR="005860CA" w:rsidRPr="0021017A">
        <w:rPr>
          <w:color w:val="000000"/>
          <w:sz w:val="24"/>
          <w:szCs w:val="24"/>
        </w:rPr>
        <w:t>koji od vjerovnika učini vjerojatnim da se planom restrukturiranja umanjuju prava ispod razine koju bi razumno očekivao ostvariti u slučaju neprovedbe restrukturiranja poslovanja dužnika ili iz plana restrukturiranja ne proizlazi vjerojatnost da će njegova provedba omogućiti sposobnost za plaćanje dužniku u razdoblju do kraja tekuće i u dvije sljedeće kalendarske godine, odnosno ako planom restrukturiranja nije određeno namirenje iznosa koji bi dobili vjerovnici da njihova tražbina nije osporena ili je planom restrukturiranja predloženo pretvaranje tražbine jednog ili više vjerovnika u temeljni kapital dužnika, a članovi dužnika nisu u skladu sa Zakonom o trgovačkim društvima donijeli odluku kojom se to dopušta.</w:t>
      </w:r>
    </w:p>
    <w:p w:rsidR="0021017A" w:rsidRDefault="00B11143" w:rsidP="0021017A">
      <w:pPr>
        <w:jc w:val="both"/>
        <w:rPr>
          <w:color w:val="000000"/>
          <w:sz w:val="24"/>
          <w:szCs w:val="24"/>
        </w:rPr>
      </w:pPr>
      <w:r w:rsidRPr="0021017A">
        <w:rPr>
          <w:color w:val="000000"/>
          <w:sz w:val="24"/>
          <w:szCs w:val="24"/>
        </w:rPr>
        <w:t xml:space="preserve">Ovaj prvostupanjski sud je tijekom postupka odredio provesti vještačenje po vještaku računovodstveno financijske struke ....................................... na okolnost vjerojatnosti provedbe plana do kraja tekuće i dvije slijedeće kalendarske godine. </w:t>
      </w:r>
    </w:p>
    <w:p w:rsidR="002248C9" w:rsidRPr="0021017A" w:rsidRDefault="00B11143" w:rsidP="0021017A">
      <w:pPr>
        <w:jc w:val="both"/>
        <w:rPr>
          <w:sz w:val="24"/>
          <w:szCs w:val="24"/>
        </w:rPr>
      </w:pPr>
      <w:r w:rsidRPr="0021017A">
        <w:rPr>
          <w:color w:val="000000"/>
          <w:sz w:val="24"/>
          <w:szCs w:val="24"/>
        </w:rPr>
        <w:t xml:space="preserve">Vještak je sudu dostavio nalaz i mišljenje iz kojeg proizlazi da nije osnovano očekivati da će dužnik biti sposoban za plaćanje do kraja tekuće i dvije slijedeće godine, sve s obzirom na uvjete poslovanja i predloženi plan.  Vještak je nalaz i mišljenje usmeno obrazložio na ročištu radi </w:t>
      </w:r>
      <w:r w:rsidR="002248C9" w:rsidRPr="0021017A">
        <w:rPr>
          <w:color w:val="000000"/>
          <w:sz w:val="24"/>
          <w:szCs w:val="24"/>
        </w:rPr>
        <w:t>glasovanja održanom ..............................</w:t>
      </w:r>
    </w:p>
    <w:p w:rsidR="0021017A" w:rsidRDefault="002248C9" w:rsidP="005860CA">
      <w:pPr>
        <w:pStyle w:val="t-9-8"/>
        <w:jc w:val="both"/>
        <w:rPr>
          <w:color w:val="000000"/>
        </w:rPr>
      </w:pPr>
      <w:r w:rsidRPr="0021017A">
        <w:rPr>
          <w:color w:val="000000"/>
        </w:rPr>
        <w:lastRenderedPageBreak/>
        <w:t>Nazočni vjerovnici nisu prihvatili nalaz i mišljenje vještaka</w:t>
      </w:r>
      <w:r w:rsidR="00B11143" w:rsidRPr="0021017A">
        <w:rPr>
          <w:color w:val="000000"/>
        </w:rPr>
        <w:t xml:space="preserve"> </w:t>
      </w:r>
      <w:r w:rsidRPr="0021017A">
        <w:rPr>
          <w:color w:val="000000"/>
        </w:rPr>
        <w:t xml:space="preserve">i predlažu da sud prihvati sporazum. </w:t>
      </w:r>
    </w:p>
    <w:p w:rsidR="002248C9" w:rsidRPr="0021017A" w:rsidRDefault="002248C9" w:rsidP="005860CA">
      <w:pPr>
        <w:pStyle w:val="t-9-8"/>
        <w:jc w:val="both"/>
        <w:rPr>
          <w:color w:val="000000"/>
        </w:rPr>
      </w:pPr>
      <w:r w:rsidRPr="0021017A">
        <w:rPr>
          <w:color w:val="000000"/>
        </w:rPr>
        <w:t xml:space="preserve">Sud je prihvatio nalaz i mišljenje vještaka u cijelosti. Smatra da je s obzirom na tijek postupka i stanje na računu dužnika nerealno za očekivati da će iz poslovanja biti sposoban platiti dospjele obveze i uredno poslovati. Razlučni vjerovnik nije sudjelovao u predstečajnom sporazumu i može pokrenuti ovršni postupak radi namirenja svoje tražbine. Nekretnina je iznimno važna za održavanje poslovne djelatnosti , jer svako seljenje djelatnosti izaziva nove troškove, a sada je razina poslovanja takva da ne trpi nove troškove niti zaduženja. </w:t>
      </w:r>
    </w:p>
    <w:p w:rsidR="0021017A" w:rsidRDefault="002248C9" w:rsidP="005860CA">
      <w:pPr>
        <w:pStyle w:val="t-9-8"/>
        <w:jc w:val="both"/>
        <w:rPr>
          <w:color w:val="000000"/>
        </w:rPr>
      </w:pPr>
      <w:r w:rsidRPr="0021017A">
        <w:rPr>
          <w:color w:val="000000"/>
        </w:rPr>
        <w:t>Sud smatra da nema uvjeta za  potvrdu predstečajnog sporazuma, jer postoje uvjeti opisani u članku 61. stavak (1.) SZ-a , odnosno ne proizlazi vjerojatnost da će  provedba plana omogućiti sposobnost za plaćanje dužniku u razdoblju do kraja tekuće i u dvije sljedeće kalendarske godine</w:t>
      </w:r>
      <w:r w:rsidR="0021017A">
        <w:rPr>
          <w:color w:val="000000"/>
        </w:rPr>
        <w:t>.</w:t>
      </w:r>
    </w:p>
    <w:p w:rsidR="005860CA" w:rsidRPr="0021017A" w:rsidRDefault="005860CA" w:rsidP="005860CA">
      <w:pPr>
        <w:pStyle w:val="t-9-8"/>
        <w:jc w:val="both"/>
        <w:rPr>
          <w:color w:val="000000"/>
        </w:rPr>
      </w:pPr>
      <w:r w:rsidRPr="0021017A">
        <w:rPr>
          <w:color w:val="000000"/>
        </w:rPr>
        <w:t>Sud će ovo rješenje  objavit će  na mrežnoj stranici e-Oglasna ploča sudova i upisati  u sudski registar.</w:t>
      </w:r>
    </w:p>
    <w:p w:rsidR="00E123E5" w:rsidRPr="0021017A" w:rsidRDefault="00E123E5" w:rsidP="00E123E5">
      <w:pPr>
        <w:numPr>
          <w:ilvl w:val="12"/>
          <w:numId w:val="0"/>
        </w:numPr>
        <w:jc w:val="both"/>
        <w:rPr>
          <w:sz w:val="24"/>
          <w:szCs w:val="24"/>
        </w:rPr>
      </w:pPr>
      <w:r w:rsidRPr="0021017A">
        <w:rPr>
          <w:bCs/>
          <w:sz w:val="24"/>
          <w:szCs w:val="24"/>
        </w:rPr>
        <w:t>Slijedom svega naprijed navedenoga,</w:t>
      </w:r>
      <w:r w:rsidR="005860CA" w:rsidRPr="0021017A">
        <w:rPr>
          <w:bCs/>
          <w:sz w:val="24"/>
          <w:szCs w:val="24"/>
        </w:rPr>
        <w:t xml:space="preserve"> poslije provedenog postupka</w:t>
      </w:r>
      <w:r w:rsidRPr="0021017A">
        <w:rPr>
          <w:bCs/>
          <w:sz w:val="24"/>
          <w:szCs w:val="24"/>
        </w:rPr>
        <w:t xml:space="preserve"> </w:t>
      </w:r>
      <w:r w:rsidRPr="0021017A">
        <w:rPr>
          <w:sz w:val="24"/>
          <w:szCs w:val="24"/>
        </w:rPr>
        <w:t>odlučeno je kao u izreci ovog rješenja.</w:t>
      </w:r>
    </w:p>
    <w:p w:rsidR="00FD02C4" w:rsidRPr="0021017A" w:rsidRDefault="00FD02C4" w:rsidP="00E123E5">
      <w:pPr>
        <w:jc w:val="center"/>
        <w:rPr>
          <w:sz w:val="24"/>
          <w:szCs w:val="24"/>
        </w:rPr>
      </w:pPr>
    </w:p>
    <w:p w:rsidR="00E123E5" w:rsidRPr="0021017A" w:rsidRDefault="00E123E5" w:rsidP="00E123E5">
      <w:pPr>
        <w:jc w:val="center"/>
        <w:rPr>
          <w:sz w:val="24"/>
          <w:szCs w:val="24"/>
        </w:rPr>
      </w:pPr>
      <w:r w:rsidRPr="0021017A">
        <w:rPr>
          <w:sz w:val="24"/>
          <w:szCs w:val="24"/>
        </w:rPr>
        <w:t>U Z</w:t>
      </w:r>
      <w:r w:rsidR="00D14334" w:rsidRPr="0021017A">
        <w:rPr>
          <w:sz w:val="24"/>
          <w:szCs w:val="24"/>
        </w:rPr>
        <w:t>agrebu 23</w:t>
      </w:r>
      <w:r w:rsidRPr="0021017A">
        <w:rPr>
          <w:sz w:val="24"/>
          <w:szCs w:val="24"/>
        </w:rPr>
        <w:t xml:space="preserve">. </w:t>
      </w:r>
      <w:r w:rsidR="00D14334" w:rsidRPr="0021017A">
        <w:rPr>
          <w:sz w:val="24"/>
          <w:szCs w:val="24"/>
        </w:rPr>
        <w:t>prosinca</w:t>
      </w:r>
      <w:r w:rsidRPr="0021017A">
        <w:rPr>
          <w:sz w:val="24"/>
          <w:szCs w:val="24"/>
        </w:rPr>
        <w:t xml:space="preserve"> 201</w:t>
      </w:r>
      <w:r w:rsidR="00D14334" w:rsidRPr="0021017A">
        <w:rPr>
          <w:sz w:val="24"/>
          <w:szCs w:val="24"/>
        </w:rPr>
        <w:t>5</w:t>
      </w:r>
      <w:r w:rsidRPr="0021017A">
        <w:rPr>
          <w:sz w:val="24"/>
          <w:szCs w:val="24"/>
        </w:rPr>
        <w:t xml:space="preserve">. </w:t>
      </w:r>
    </w:p>
    <w:p w:rsidR="00E123E5" w:rsidRPr="0021017A" w:rsidRDefault="00E123E5" w:rsidP="00E123E5">
      <w:pPr>
        <w:jc w:val="center"/>
        <w:rPr>
          <w:sz w:val="24"/>
          <w:szCs w:val="24"/>
        </w:rPr>
      </w:pPr>
    </w:p>
    <w:p w:rsidR="00E123E5" w:rsidRPr="0021017A" w:rsidRDefault="00E123E5" w:rsidP="00E123E5">
      <w:pPr>
        <w:ind w:left="5040" w:firstLine="720"/>
        <w:jc w:val="both"/>
        <w:rPr>
          <w:sz w:val="24"/>
          <w:szCs w:val="24"/>
        </w:rPr>
      </w:pPr>
      <w:r w:rsidRPr="0021017A">
        <w:rPr>
          <w:sz w:val="24"/>
          <w:szCs w:val="24"/>
        </w:rPr>
        <w:t xml:space="preserve">          SUDAC:  </w:t>
      </w:r>
    </w:p>
    <w:p w:rsidR="00D14334" w:rsidRPr="0021017A" w:rsidRDefault="00E123E5" w:rsidP="00D14334">
      <w:pPr>
        <w:jc w:val="both"/>
        <w:rPr>
          <w:sz w:val="24"/>
          <w:szCs w:val="24"/>
        </w:rPr>
      </w:pPr>
      <w:r w:rsidRPr="0021017A">
        <w:rPr>
          <w:sz w:val="24"/>
          <w:szCs w:val="24"/>
        </w:rPr>
        <w:t xml:space="preserve">               </w:t>
      </w:r>
      <w:r w:rsidRPr="0021017A">
        <w:rPr>
          <w:sz w:val="24"/>
          <w:szCs w:val="24"/>
        </w:rPr>
        <w:tab/>
      </w:r>
      <w:r w:rsidRPr="0021017A">
        <w:rPr>
          <w:sz w:val="24"/>
          <w:szCs w:val="24"/>
        </w:rPr>
        <w:tab/>
      </w:r>
      <w:r w:rsidRPr="0021017A">
        <w:rPr>
          <w:sz w:val="24"/>
          <w:szCs w:val="24"/>
        </w:rPr>
        <w:tab/>
      </w:r>
      <w:r w:rsidRPr="0021017A">
        <w:rPr>
          <w:sz w:val="24"/>
          <w:szCs w:val="24"/>
        </w:rPr>
        <w:tab/>
      </w:r>
      <w:r w:rsidRPr="0021017A">
        <w:rPr>
          <w:sz w:val="24"/>
          <w:szCs w:val="24"/>
        </w:rPr>
        <w:tab/>
      </w:r>
      <w:r w:rsidRPr="0021017A">
        <w:rPr>
          <w:sz w:val="24"/>
          <w:szCs w:val="24"/>
        </w:rPr>
        <w:tab/>
      </w:r>
      <w:r w:rsidRPr="0021017A">
        <w:rPr>
          <w:sz w:val="24"/>
          <w:szCs w:val="24"/>
        </w:rPr>
        <w:tab/>
        <w:t xml:space="preserve">     </w:t>
      </w:r>
      <w:r w:rsidR="005860CA" w:rsidRPr="0021017A">
        <w:rPr>
          <w:sz w:val="24"/>
          <w:szCs w:val="24"/>
        </w:rPr>
        <w:t xml:space="preserve">   Ivan I</w:t>
      </w:r>
      <w:r w:rsidR="00AA7DEA" w:rsidRPr="0021017A">
        <w:rPr>
          <w:sz w:val="24"/>
          <w:szCs w:val="24"/>
        </w:rPr>
        <w:t xml:space="preserve">vić </w:t>
      </w:r>
    </w:p>
    <w:p w:rsidR="00E123E5" w:rsidRPr="0021017A" w:rsidRDefault="00E123E5" w:rsidP="00E123E5">
      <w:pPr>
        <w:ind w:left="5040"/>
        <w:jc w:val="both"/>
        <w:rPr>
          <w:sz w:val="24"/>
          <w:szCs w:val="24"/>
        </w:rPr>
      </w:pPr>
      <w:r w:rsidRPr="0021017A">
        <w:rPr>
          <w:sz w:val="24"/>
          <w:szCs w:val="24"/>
        </w:rPr>
        <w:tab/>
      </w:r>
    </w:p>
    <w:p w:rsidR="00E123E5" w:rsidRPr="0021017A" w:rsidRDefault="00E123E5" w:rsidP="00E123E5">
      <w:pPr>
        <w:jc w:val="both"/>
        <w:rPr>
          <w:sz w:val="24"/>
          <w:szCs w:val="24"/>
        </w:rPr>
      </w:pPr>
      <w:r w:rsidRPr="0021017A">
        <w:rPr>
          <w:sz w:val="24"/>
          <w:szCs w:val="24"/>
        </w:rPr>
        <w:t>UPUTA  O PRAVNOM LIJEKU:</w:t>
      </w:r>
    </w:p>
    <w:p w:rsidR="00E123E5" w:rsidRPr="0021017A" w:rsidRDefault="00E123E5" w:rsidP="00E123E5">
      <w:pPr>
        <w:jc w:val="both"/>
        <w:rPr>
          <w:sz w:val="24"/>
          <w:szCs w:val="24"/>
        </w:rPr>
      </w:pPr>
      <w:r w:rsidRPr="0021017A">
        <w:rPr>
          <w:sz w:val="24"/>
          <w:szCs w:val="24"/>
        </w:rPr>
        <w:t xml:space="preserve">Protiv ovog rješenja </w:t>
      </w:r>
      <w:r w:rsidR="002248C9" w:rsidRPr="0021017A">
        <w:rPr>
          <w:sz w:val="24"/>
          <w:szCs w:val="24"/>
        </w:rPr>
        <w:t>dopuštena je žalba u roku 8 dana od dostave</w:t>
      </w:r>
      <w:r w:rsidRPr="0021017A">
        <w:rPr>
          <w:sz w:val="24"/>
          <w:szCs w:val="24"/>
        </w:rPr>
        <w:t>. Žalba se podnosi ovom sudu u 2 primjerka putem ovog suda Visokom trgovačkom sudu Republike Hrvatske.</w:t>
      </w:r>
    </w:p>
    <w:p w:rsidR="00FD02C4" w:rsidRPr="0021017A" w:rsidRDefault="00FD02C4" w:rsidP="00E123E5">
      <w:pPr>
        <w:jc w:val="both"/>
        <w:rPr>
          <w:sz w:val="24"/>
          <w:szCs w:val="24"/>
        </w:rPr>
      </w:pPr>
    </w:p>
    <w:p w:rsidR="00E123E5" w:rsidRPr="0021017A" w:rsidRDefault="00E123E5" w:rsidP="00E123E5">
      <w:pPr>
        <w:jc w:val="both"/>
        <w:rPr>
          <w:sz w:val="24"/>
          <w:szCs w:val="24"/>
        </w:rPr>
      </w:pPr>
      <w:r w:rsidRPr="0021017A">
        <w:rPr>
          <w:sz w:val="24"/>
          <w:szCs w:val="24"/>
        </w:rPr>
        <w:t>DNA:</w:t>
      </w:r>
    </w:p>
    <w:p w:rsidR="00E123E5" w:rsidRPr="0021017A" w:rsidRDefault="00D14334" w:rsidP="00D14334">
      <w:pPr>
        <w:pStyle w:val="Odlomakpopisa"/>
        <w:numPr>
          <w:ilvl w:val="0"/>
          <w:numId w:val="9"/>
        </w:numPr>
        <w:tabs>
          <w:tab w:val="left" w:pos="720"/>
        </w:tabs>
        <w:overflowPunct w:val="0"/>
        <w:autoSpaceDE w:val="0"/>
        <w:autoSpaceDN w:val="0"/>
        <w:adjustRightInd w:val="0"/>
        <w:jc w:val="both"/>
        <w:textAlignment w:val="baseline"/>
        <w:rPr>
          <w:sz w:val="24"/>
          <w:szCs w:val="24"/>
        </w:rPr>
      </w:pPr>
      <w:r w:rsidRPr="0021017A">
        <w:rPr>
          <w:sz w:val="24"/>
          <w:szCs w:val="24"/>
        </w:rPr>
        <w:t>E oglasna ploča suda 8</w:t>
      </w:r>
      <w:r w:rsidR="00E123E5" w:rsidRPr="0021017A">
        <w:rPr>
          <w:sz w:val="24"/>
          <w:szCs w:val="24"/>
        </w:rPr>
        <w:t xml:space="preserve"> dana</w:t>
      </w:r>
    </w:p>
    <w:p w:rsidR="00E123E5" w:rsidRPr="0021017A" w:rsidRDefault="00E123E5" w:rsidP="00E123E5">
      <w:pPr>
        <w:rPr>
          <w:sz w:val="24"/>
          <w:szCs w:val="24"/>
        </w:rPr>
      </w:pPr>
    </w:p>
    <w:p w:rsidR="00E123E5" w:rsidRPr="0021017A" w:rsidRDefault="00E123E5" w:rsidP="00E123E5">
      <w:pPr>
        <w:jc w:val="center"/>
        <w:rPr>
          <w:sz w:val="24"/>
          <w:szCs w:val="24"/>
        </w:rPr>
      </w:pPr>
    </w:p>
    <w:p w:rsidR="00E123E5" w:rsidRPr="00D32E12" w:rsidRDefault="00E123E5" w:rsidP="00E123E5">
      <w:pPr>
        <w:rPr>
          <w:sz w:val="24"/>
          <w:szCs w:val="24"/>
        </w:rPr>
      </w:pPr>
    </w:p>
    <w:p w:rsidR="00E123E5" w:rsidRPr="00D32E12" w:rsidRDefault="00E123E5" w:rsidP="00E123E5">
      <w:pPr>
        <w:jc w:val="center"/>
        <w:rPr>
          <w:sz w:val="24"/>
          <w:szCs w:val="24"/>
        </w:rPr>
      </w:pPr>
    </w:p>
    <w:p w:rsidR="00E123E5" w:rsidRPr="00D32E12" w:rsidRDefault="00E123E5" w:rsidP="00E123E5">
      <w:pPr>
        <w:rPr>
          <w:sz w:val="24"/>
          <w:szCs w:val="24"/>
        </w:rPr>
      </w:pPr>
    </w:p>
    <w:p w:rsidR="00E123E5" w:rsidRPr="00D32E12" w:rsidRDefault="00E123E5" w:rsidP="00E123E5">
      <w:pPr>
        <w:rPr>
          <w:sz w:val="24"/>
          <w:szCs w:val="24"/>
        </w:rPr>
      </w:pPr>
    </w:p>
    <w:p w:rsidR="00E123E5" w:rsidRPr="00D32E12" w:rsidRDefault="00E123E5" w:rsidP="00E123E5">
      <w:pPr>
        <w:rPr>
          <w:sz w:val="24"/>
          <w:szCs w:val="24"/>
        </w:rPr>
      </w:pPr>
    </w:p>
    <w:p w:rsidR="00E123E5" w:rsidRPr="00D32E12" w:rsidRDefault="00E123E5" w:rsidP="00E123E5">
      <w:pPr>
        <w:rPr>
          <w:sz w:val="24"/>
          <w:szCs w:val="24"/>
        </w:rPr>
      </w:pPr>
    </w:p>
    <w:p w:rsidR="00BD602E" w:rsidRDefault="00BD602E"/>
    <w:sectPr w:rsidR="00BD602E" w:rsidSect="00C032B4">
      <w:headerReference w:type="even" r:id="rId8"/>
      <w:head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34" w:rsidRDefault="00D14334" w:rsidP="00D14334">
      <w:r>
        <w:separator/>
      </w:r>
    </w:p>
  </w:endnote>
  <w:endnote w:type="continuationSeparator" w:id="0">
    <w:p w:rsidR="00D14334" w:rsidRDefault="00D14334" w:rsidP="00D1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34" w:rsidRDefault="00D14334" w:rsidP="00D14334">
      <w:r>
        <w:separator/>
      </w:r>
    </w:p>
  </w:footnote>
  <w:footnote w:type="continuationSeparator" w:id="0">
    <w:p w:rsidR="00D14334" w:rsidRDefault="00D14334" w:rsidP="00D14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CD" w:rsidRDefault="00D14334" w:rsidP="00C032B4">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9A0CCD" w:rsidRDefault="0001749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CD" w:rsidRDefault="00D14334" w:rsidP="00C032B4">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01749A">
      <w:rPr>
        <w:rStyle w:val="Brojstranice"/>
        <w:noProof/>
      </w:rPr>
      <w:t>2</w:t>
    </w:r>
    <w:r>
      <w:rPr>
        <w:rStyle w:val="Brojstranice"/>
      </w:rPr>
      <w:fldChar w:fldCharType="end"/>
    </w:r>
  </w:p>
  <w:p w:rsidR="009A0CCD" w:rsidRDefault="00D14334" w:rsidP="00C032B4">
    <w:pPr>
      <w:pStyle w:val="Zaglavlje"/>
      <w:jc w:val="right"/>
    </w:pPr>
    <w:r>
      <w:rPr>
        <w:sz w:val="24"/>
      </w:rPr>
      <w:t>72. Stpn-199/2015</w:t>
    </w:r>
    <w:r w:rsidRPr="00B312E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4AFF"/>
    <w:multiLevelType w:val="hybridMultilevel"/>
    <w:tmpl w:val="77AEED48"/>
    <w:lvl w:ilvl="0" w:tplc="4BBCEAC8">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161C5D6D"/>
    <w:multiLevelType w:val="hybridMultilevel"/>
    <w:tmpl w:val="57163C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8203644"/>
    <w:multiLevelType w:val="hybridMultilevel"/>
    <w:tmpl w:val="F184FB6A"/>
    <w:lvl w:ilvl="0" w:tplc="EB84E9C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7F33DF5"/>
    <w:multiLevelType w:val="hybridMultilevel"/>
    <w:tmpl w:val="75FCE6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F6F49F8"/>
    <w:multiLevelType w:val="singleLevel"/>
    <w:tmpl w:val="D642438E"/>
    <w:lvl w:ilvl="0">
      <w:start w:val="1"/>
      <w:numFmt w:val="decimal"/>
      <w:lvlText w:val="%1."/>
      <w:legacy w:legacy="1" w:legacySpace="120" w:legacyIndent="360"/>
      <w:lvlJc w:val="left"/>
      <w:pPr>
        <w:ind w:left="720" w:hanging="360"/>
      </w:pPr>
    </w:lvl>
  </w:abstractNum>
  <w:abstractNum w:abstractNumId="5">
    <w:nsid w:val="42F449F6"/>
    <w:multiLevelType w:val="hybridMultilevel"/>
    <w:tmpl w:val="652E2CB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60921524"/>
    <w:multiLevelType w:val="hybridMultilevel"/>
    <w:tmpl w:val="98C66A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61D3BE7"/>
    <w:multiLevelType w:val="hybridMultilevel"/>
    <w:tmpl w:val="2BA82F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DEF1BD5"/>
    <w:multiLevelType w:val="hybridMultilevel"/>
    <w:tmpl w:val="2BBC45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8"/>
  </w:num>
  <w:num w:numId="5">
    <w:abstractNumId w:val="7"/>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E5"/>
    <w:rsid w:val="0001749A"/>
    <w:rsid w:val="00091F63"/>
    <w:rsid w:val="00104AE1"/>
    <w:rsid w:val="0015717F"/>
    <w:rsid w:val="001B4309"/>
    <w:rsid w:val="0021017A"/>
    <w:rsid w:val="002248C9"/>
    <w:rsid w:val="00312560"/>
    <w:rsid w:val="005860CA"/>
    <w:rsid w:val="008C129C"/>
    <w:rsid w:val="00A64332"/>
    <w:rsid w:val="00AA7DEA"/>
    <w:rsid w:val="00B11143"/>
    <w:rsid w:val="00BD602E"/>
    <w:rsid w:val="00C01B1B"/>
    <w:rsid w:val="00D14334"/>
    <w:rsid w:val="00E123E5"/>
    <w:rsid w:val="00FD02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E5"/>
    <w:pPr>
      <w:spacing w:after="0" w:line="240" w:lineRule="auto"/>
    </w:pPr>
    <w:rPr>
      <w:rFonts w:eastAsia="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123E5"/>
    <w:pPr>
      <w:tabs>
        <w:tab w:val="center" w:pos="4536"/>
        <w:tab w:val="right" w:pos="9072"/>
      </w:tabs>
    </w:pPr>
  </w:style>
  <w:style w:type="character" w:customStyle="1" w:styleId="ZaglavljeChar">
    <w:name w:val="Zaglavlje Char"/>
    <w:basedOn w:val="Zadanifontodlomka"/>
    <w:link w:val="Zaglavlje"/>
    <w:rsid w:val="00E123E5"/>
    <w:rPr>
      <w:rFonts w:eastAsia="Times New Roman" w:cs="Times New Roman"/>
      <w:sz w:val="20"/>
      <w:szCs w:val="20"/>
      <w:lang w:eastAsia="hr-HR"/>
    </w:rPr>
  </w:style>
  <w:style w:type="character" w:styleId="Brojstranice">
    <w:name w:val="page number"/>
    <w:basedOn w:val="Zadanifontodlomka"/>
    <w:rsid w:val="00E123E5"/>
  </w:style>
  <w:style w:type="paragraph" w:styleId="Tekstbalonia">
    <w:name w:val="Balloon Text"/>
    <w:basedOn w:val="Normal"/>
    <w:link w:val="TekstbaloniaChar"/>
    <w:uiPriority w:val="99"/>
    <w:semiHidden/>
    <w:unhideWhenUsed/>
    <w:rsid w:val="00E123E5"/>
    <w:rPr>
      <w:rFonts w:ascii="Tahoma" w:hAnsi="Tahoma" w:cs="Tahoma"/>
      <w:sz w:val="16"/>
      <w:szCs w:val="16"/>
    </w:rPr>
  </w:style>
  <w:style w:type="character" w:customStyle="1" w:styleId="TekstbaloniaChar">
    <w:name w:val="Tekst balončića Char"/>
    <w:basedOn w:val="Zadanifontodlomka"/>
    <w:link w:val="Tekstbalonia"/>
    <w:uiPriority w:val="99"/>
    <w:semiHidden/>
    <w:rsid w:val="00E123E5"/>
    <w:rPr>
      <w:rFonts w:ascii="Tahoma" w:eastAsia="Times New Roman" w:hAnsi="Tahoma" w:cs="Tahoma"/>
      <w:sz w:val="16"/>
      <w:szCs w:val="16"/>
      <w:lang w:eastAsia="hr-HR"/>
    </w:rPr>
  </w:style>
  <w:style w:type="paragraph" w:styleId="Odlomakpopisa">
    <w:name w:val="List Paragraph"/>
    <w:basedOn w:val="Normal"/>
    <w:uiPriority w:val="34"/>
    <w:qFormat/>
    <w:rsid w:val="00E123E5"/>
    <w:pPr>
      <w:ind w:left="720"/>
      <w:contextualSpacing/>
    </w:pPr>
  </w:style>
  <w:style w:type="paragraph" w:styleId="Podnoje">
    <w:name w:val="footer"/>
    <w:basedOn w:val="Normal"/>
    <w:link w:val="PodnojeChar"/>
    <w:uiPriority w:val="99"/>
    <w:unhideWhenUsed/>
    <w:rsid w:val="00D14334"/>
    <w:pPr>
      <w:tabs>
        <w:tab w:val="center" w:pos="4536"/>
        <w:tab w:val="right" w:pos="9072"/>
      </w:tabs>
    </w:pPr>
  </w:style>
  <w:style w:type="character" w:customStyle="1" w:styleId="PodnojeChar">
    <w:name w:val="Podnožje Char"/>
    <w:basedOn w:val="Zadanifontodlomka"/>
    <w:link w:val="Podnoje"/>
    <w:uiPriority w:val="99"/>
    <w:rsid w:val="00D14334"/>
    <w:rPr>
      <w:rFonts w:eastAsia="Times New Roman" w:cs="Times New Roman"/>
      <w:sz w:val="20"/>
      <w:szCs w:val="20"/>
      <w:lang w:eastAsia="hr-HR"/>
    </w:rPr>
  </w:style>
  <w:style w:type="paragraph" w:customStyle="1" w:styleId="t-9-8">
    <w:name w:val="t-9-8"/>
    <w:basedOn w:val="Normal"/>
    <w:rsid w:val="005860C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E5"/>
    <w:pPr>
      <w:spacing w:after="0" w:line="240" w:lineRule="auto"/>
    </w:pPr>
    <w:rPr>
      <w:rFonts w:eastAsia="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123E5"/>
    <w:pPr>
      <w:tabs>
        <w:tab w:val="center" w:pos="4536"/>
        <w:tab w:val="right" w:pos="9072"/>
      </w:tabs>
    </w:pPr>
  </w:style>
  <w:style w:type="character" w:customStyle="1" w:styleId="ZaglavljeChar">
    <w:name w:val="Zaglavlje Char"/>
    <w:basedOn w:val="Zadanifontodlomka"/>
    <w:link w:val="Zaglavlje"/>
    <w:rsid w:val="00E123E5"/>
    <w:rPr>
      <w:rFonts w:eastAsia="Times New Roman" w:cs="Times New Roman"/>
      <w:sz w:val="20"/>
      <w:szCs w:val="20"/>
      <w:lang w:eastAsia="hr-HR"/>
    </w:rPr>
  </w:style>
  <w:style w:type="character" w:styleId="Brojstranice">
    <w:name w:val="page number"/>
    <w:basedOn w:val="Zadanifontodlomka"/>
    <w:rsid w:val="00E123E5"/>
  </w:style>
  <w:style w:type="paragraph" w:styleId="Tekstbalonia">
    <w:name w:val="Balloon Text"/>
    <w:basedOn w:val="Normal"/>
    <w:link w:val="TekstbaloniaChar"/>
    <w:uiPriority w:val="99"/>
    <w:semiHidden/>
    <w:unhideWhenUsed/>
    <w:rsid w:val="00E123E5"/>
    <w:rPr>
      <w:rFonts w:ascii="Tahoma" w:hAnsi="Tahoma" w:cs="Tahoma"/>
      <w:sz w:val="16"/>
      <w:szCs w:val="16"/>
    </w:rPr>
  </w:style>
  <w:style w:type="character" w:customStyle="1" w:styleId="TekstbaloniaChar">
    <w:name w:val="Tekst balončića Char"/>
    <w:basedOn w:val="Zadanifontodlomka"/>
    <w:link w:val="Tekstbalonia"/>
    <w:uiPriority w:val="99"/>
    <w:semiHidden/>
    <w:rsid w:val="00E123E5"/>
    <w:rPr>
      <w:rFonts w:ascii="Tahoma" w:eastAsia="Times New Roman" w:hAnsi="Tahoma" w:cs="Tahoma"/>
      <w:sz w:val="16"/>
      <w:szCs w:val="16"/>
      <w:lang w:eastAsia="hr-HR"/>
    </w:rPr>
  </w:style>
  <w:style w:type="paragraph" w:styleId="Odlomakpopisa">
    <w:name w:val="List Paragraph"/>
    <w:basedOn w:val="Normal"/>
    <w:uiPriority w:val="34"/>
    <w:qFormat/>
    <w:rsid w:val="00E123E5"/>
    <w:pPr>
      <w:ind w:left="720"/>
      <w:contextualSpacing/>
    </w:pPr>
  </w:style>
  <w:style w:type="paragraph" w:styleId="Podnoje">
    <w:name w:val="footer"/>
    <w:basedOn w:val="Normal"/>
    <w:link w:val="PodnojeChar"/>
    <w:uiPriority w:val="99"/>
    <w:unhideWhenUsed/>
    <w:rsid w:val="00D14334"/>
    <w:pPr>
      <w:tabs>
        <w:tab w:val="center" w:pos="4536"/>
        <w:tab w:val="right" w:pos="9072"/>
      </w:tabs>
    </w:pPr>
  </w:style>
  <w:style w:type="character" w:customStyle="1" w:styleId="PodnojeChar">
    <w:name w:val="Podnožje Char"/>
    <w:basedOn w:val="Zadanifontodlomka"/>
    <w:link w:val="Podnoje"/>
    <w:uiPriority w:val="99"/>
    <w:rsid w:val="00D14334"/>
    <w:rPr>
      <w:rFonts w:eastAsia="Times New Roman" w:cs="Times New Roman"/>
      <w:sz w:val="20"/>
      <w:szCs w:val="20"/>
      <w:lang w:eastAsia="hr-HR"/>
    </w:rPr>
  </w:style>
  <w:style w:type="paragraph" w:customStyle="1" w:styleId="t-9-8">
    <w:name w:val="t-9-8"/>
    <w:basedOn w:val="Normal"/>
    <w:rsid w:val="005860C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97708">
      <w:bodyDiv w:val="1"/>
      <w:marLeft w:val="0"/>
      <w:marRight w:val="0"/>
      <w:marTop w:val="0"/>
      <w:marBottom w:val="0"/>
      <w:divBdr>
        <w:top w:val="none" w:sz="0" w:space="0" w:color="auto"/>
        <w:left w:val="none" w:sz="0" w:space="0" w:color="auto"/>
        <w:bottom w:val="none" w:sz="0" w:space="0" w:color="auto"/>
        <w:right w:val="none" w:sz="0" w:space="0" w:color="auto"/>
      </w:divBdr>
      <w:divsChild>
        <w:div w:id="1854951563">
          <w:marLeft w:val="0"/>
          <w:marRight w:val="0"/>
          <w:marTop w:val="0"/>
          <w:marBottom w:val="0"/>
          <w:divBdr>
            <w:top w:val="none" w:sz="0" w:space="0" w:color="auto"/>
            <w:left w:val="none" w:sz="0" w:space="0" w:color="auto"/>
            <w:bottom w:val="none" w:sz="0" w:space="0" w:color="auto"/>
            <w:right w:val="none" w:sz="0" w:space="0" w:color="auto"/>
          </w:divBdr>
          <w:divsChild>
            <w:div w:id="86968056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32028405">
      <w:bodyDiv w:val="1"/>
      <w:marLeft w:val="0"/>
      <w:marRight w:val="0"/>
      <w:marTop w:val="0"/>
      <w:marBottom w:val="0"/>
      <w:divBdr>
        <w:top w:val="none" w:sz="0" w:space="0" w:color="auto"/>
        <w:left w:val="none" w:sz="0" w:space="0" w:color="auto"/>
        <w:bottom w:val="none" w:sz="0" w:space="0" w:color="auto"/>
        <w:right w:val="none" w:sz="0" w:space="0" w:color="auto"/>
      </w:divBdr>
      <w:divsChild>
        <w:div w:id="1195189658">
          <w:marLeft w:val="0"/>
          <w:marRight w:val="0"/>
          <w:marTop w:val="0"/>
          <w:marBottom w:val="0"/>
          <w:divBdr>
            <w:top w:val="none" w:sz="0" w:space="0" w:color="auto"/>
            <w:left w:val="none" w:sz="0" w:space="0" w:color="auto"/>
            <w:bottom w:val="none" w:sz="0" w:space="0" w:color="auto"/>
            <w:right w:val="none" w:sz="0" w:space="0" w:color="auto"/>
          </w:divBdr>
          <w:divsChild>
            <w:div w:id="35169203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68418044">
      <w:bodyDiv w:val="1"/>
      <w:marLeft w:val="0"/>
      <w:marRight w:val="0"/>
      <w:marTop w:val="0"/>
      <w:marBottom w:val="0"/>
      <w:divBdr>
        <w:top w:val="none" w:sz="0" w:space="0" w:color="auto"/>
        <w:left w:val="none" w:sz="0" w:space="0" w:color="auto"/>
        <w:bottom w:val="none" w:sz="0" w:space="0" w:color="auto"/>
        <w:right w:val="none" w:sz="0" w:space="0" w:color="auto"/>
      </w:divBdr>
      <w:divsChild>
        <w:div w:id="1360859589">
          <w:marLeft w:val="0"/>
          <w:marRight w:val="0"/>
          <w:marTop w:val="0"/>
          <w:marBottom w:val="0"/>
          <w:divBdr>
            <w:top w:val="none" w:sz="0" w:space="0" w:color="auto"/>
            <w:left w:val="none" w:sz="0" w:space="0" w:color="auto"/>
            <w:bottom w:val="none" w:sz="0" w:space="0" w:color="auto"/>
            <w:right w:val="none" w:sz="0" w:space="0" w:color="auto"/>
          </w:divBdr>
          <w:divsChild>
            <w:div w:id="80774232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3477</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Ribarić</dc:creator>
  <cp:lastModifiedBy>Nino Radić</cp:lastModifiedBy>
  <cp:revision>4</cp:revision>
  <cp:lastPrinted>2015-12-23T09:49:00Z</cp:lastPrinted>
  <dcterms:created xsi:type="dcterms:W3CDTF">2016-02-01T14:54:00Z</dcterms:created>
  <dcterms:modified xsi:type="dcterms:W3CDTF">2016-02-01T15:35:00Z</dcterms:modified>
</cp:coreProperties>
</file>