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58" w:rsidRDefault="001F4758" w:rsidP="00E94945">
      <w:pPr>
        <w:rPr>
          <w:b/>
          <w:sz w:val="24"/>
          <w:szCs w:val="24"/>
        </w:rPr>
      </w:pPr>
    </w:p>
    <w:p w:rsidR="001F4758" w:rsidRDefault="001F4758" w:rsidP="00E94945">
      <w:pPr>
        <w:rPr>
          <w:b/>
          <w:sz w:val="24"/>
          <w:szCs w:val="24"/>
        </w:rPr>
      </w:pPr>
    </w:p>
    <w:p w:rsidR="00E94945" w:rsidRPr="001F4758" w:rsidRDefault="00E94945" w:rsidP="00E94945">
      <w:pPr>
        <w:rPr>
          <w:b/>
          <w:sz w:val="24"/>
          <w:szCs w:val="24"/>
        </w:rPr>
      </w:pPr>
      <w:r w:rsidRPr="001F4758">
        <w:rPr>
          <w:b/>
          <w:sz w:val="24"/>
          <w:szCs w:val="24"/>
        </w:rPr>
        <w:t>REPUBLIKA HRVATSKA</w:t>
      </w:r>
    </w:p>
    <w:p w:rsidR="00E94945" w:rsidRPr="001F4758" w:rsidRDefault="00E94945" w:rsidP="00E94945">
      <w:pPr>
        <w:rPr>
          <w:b/>
          <w:sz w:val="24"/>
          <w:szCs w:val="24"/>
        </w:rPr>
      </w:pPr>
      <w:r w:rsidRPr="001F4758">
        <w:rPr>
          <w:b/>
          <w:sz w:val="24"/>
          <w:szCs w:val="24"/>
        </w:rPr>
        <w:t>TRGOVAČKI SUD U ZAGREBU</w:t>
      </w:r>
    </w:p>
    <w:p w:rsidR="001F4758" w:rsidRPr="001F4758" w:rsidRDefault="00E94945" w:rsidP="001F4758">
      <w:pPr>
        <w:rPr>
          <w:sz w:val="24"/>
          <w:szCs w:val="24"/>
        </w:rPr>
      </w:pPr>
      <w:r w:rsidRPr="001F4758">
        <w:rPr>
          <w:b/>
          <w:sz w:val="24"/>
          <w:szCs w:val="24"/>
        </w:rPr>
        <w:t xml:space="preserve">Zagreb, </w:t>
      </w:r>
      <w:proofErr w:type="spellStart"/>
      <w:r w:rsidRPr="001F4758">
        <w:rPr>
          <w:b/>
          <w:sz w:val="24"/>
          <w:szCs w:val="24"/>
        </w:rPr>
        <w:t>Amruševa</w:t>
      </w:r>
      <w:proofErr w:type="spellEnd"/>
      <w:r w:rsidRPr="001F4758">
        <w:rPr>
          <w:b/>
          <w:sz w:val="24"/>
          <w:szCs w:val="24"/>
        </w:rPr>
        <w:t xml:space="preserve"> 2/II</w:t>
      </w:r>
      <w:r w:rsidR="001F4758" w:rsidRPr="001F4758">
        <w:rPr>
          <w:sz w:val="24"/>
          <w:szCs w:val="24"/>
        </w:rPr>
        <w:t xml:space="preserve">     </w:t>
      </w:r>
      <w:r w:rsidR="001F4758" w:rsidRPr="001F4758">
        <w:rPr>
          <w:sz w:val="24"/>
          <w:szCs w:val="24"/>
        </w:rPr>
        <w:tab/>
      </w:r>
      <w:r w:rsidR="001F4758" w:rsidRPr="001F4758">
        <w:rPr>
          <w:sz w:val="24"/>
          <w:szCs w:val="24"/>
        </w:rPr>
        <w:tab/>
      </w:r>
      <w:r w:rsidR="001F4758" w:rsidRPr="001F4758">
        <w:rPr>
          <w:sz w:val="24"/>
          <w:szCs w:val="24"/>
        </w:rPr>
        <w:tab/>
      </w:r>
      <w:r w:rsidR="001F4758" w:rsidRPr="001F4758">
        <w:rPr>
          <w:sz w:val="24"/>
          <w:szCs w:val="24"/>
        </w:rPr>
        <w:tab/>
      </w:r>
      <w:r w:rsidR="001F4758" w:rsidRPr="001F4758">
        <w:rPr>
          <w:sz w:val="24"/>
          <w:szCs w:val="24"/>
        </w:rPr>
        <w:tab/>
      </w:r>
      <w:r w:rsidR="001F4758" w:rsidRPr="001F4758">
        <w:rPr>
          <w:sz w:val="24"/>
          <w:szCs w:val="24"/>
        </w:rPr>
        <w:tab/>
        <w:t xml:space="preserve"> St-.........../</w:t>
      </w:r>
      <w:proofErr w:type="spellStart"/>
      <w:r w:rsidR="001F4758" w:rsidRPr="001F4758">
        <w:rPr>
          <w:sz w:val="24"/>
          <w:szCs w:val="24"/>
        </w:rPr>
        <w:t>2015</w:t>
      </w:r>
      <w:proofErr w:type="spellEnd"/>
      <w:r w:rsidR="001F4758" w:rsidRPr="001F4758">
        <w:rPr>
          <w:sz w:val="24"/>
          <w:szCs w:val="24"/>
        </w:rPr>
        <w:t>-</w:t>
      </w:r>
    </w:p>
    <w:p w:rsidR="001F4758" w:rsidRPr="001F4758" w:rsidRDefault="001F4758" w:rsidP="00E94945">
      <w:pPr>
        <w:jc w:val="center"/>
        <w:rPr>
          <w:sz w:val="24"/>
          <w:szCs w:val="24"/>
        </w:rPr>
      </w:pPr>
    </w:p>
    <w:p w:rsidR="001F4758" w:rsidRPr="001F4758" w:rsidRDefault="001F4758" w:rsidP="00E94945">
      <w:pPr>
        <w:jc w:val="center"/>
        <w:rPr>
          <w:sz w:val="24"/>
          <w:szCs w:val="24"/>
        </w:rPr>
      </w:pPr>
    </w:p>
    <w:p w:rsidR="001F4758" w:rsidRPr="001F4758" w:rsidRDefault="001F4758" w:rsidP="001F4758">
      <w:pPr>
        <w:jc w:val="center"/>
        <w:rPr>
          <w:sz w:val="24"/>
          <w:szCs w:val="24"/>
        </w:rPr>
      </w:pPr>
      <w:r w:rsidRPr="001F4758">
        <w:rPr>
          <w:sz w:val="24"/>
          <w:szCs w:val="24"/>
        </w:rPr>
        <w:t>R E P U B L I K A    H R V A T S K A</w:t>
      </w:r>
    </w:p>
    <w:p w:rsidR="001F4758" w:rsidRPr="001F4758" w:rsidRDefault="001F4758" w:rsidP="001F4758">
      <w:pPr>
        <w:jc w:val="both"/>
        <w:rPr>
          <w:sz w:val="24"/>
          <w:szCs w:val="24"/>
        </w:rPr>
      </w:pPr>
      <w:r w:rsidRPr="001F4758">
        <w:rPr>
          <w:sz w:val="24"/>
          <w:szCs w:val="24"/>
        </w:rPr>
        <w:tab/>
        <w:t xml:space="preserve"> </w:t>
      </w:r>
    </w:p>
    <w:p w:rsidR="001F4758" w:rsidRPr="001F4758" w:rsidRDefault="001F4758" w:rsidP="001F4758">
      <w:pPr>
        <w:jc w:val="center"/>
        <w:rPr>
          <w:sz w:val="24"/>
          <w:szCs w:val="24"/>
        </w:rPr>
      </w:pPr>
      <w:r w:rsidRPr="001F4758">
        <w:rPr>
          <w:sz w:val="24"/>
          <w:szCs w:val="24"/>
        </w:rPr>
        <w:t xml:space="preserve">Z A K L J U Č A K </w:t>
      </w:r>
    </w:p>
    <w:p w:rsidR="001F4758" w:rsidRPr="001F4758" w:rsidRDefault="001F4758" w:rsidP="001F4758">
      <w:pPr>
        <w:jc w:val="center"/>
        <w:rPr>
          <w:sz w:val="24"/>
          <w:szCs w:val="24"/>
        </w:rPr>
      </w:pPr>
    </w:p>
    <w:p w:rsidR="001F4758" w:rsidRPr="001F4758" w:rsidRDefault="001F4758" w:rsidP="001F4758">
      <w:pPr>
        <w:jc w:val="both"/>
        <w:rPr>
          <w:sz w:val="24"/>
          <w:szCs w:val="24"/>
        </w:rPr>
      </w:pPr>
      <w:r w:rsidRPr="001F4758">
        <w:rPr>
          <w:sz w:val="24"/>
          <w:szCs w:val="24"/>
        </w:rPr>
        <w:tab/>
        <w:t xml:space="preserve">Trgovački sud u Zagrebu po sucu pojedincu Ivanu Iviću  u </w:t>
      </w:r>
      <w:proofErr w:type="spellStart"/>
      <w:r w:rsidRPr="001F4758">
        <w:rPr>
          <w:sz w:val="24"/>
          <w:szCs w:val="24"/>
        </w:rPr>
        <w:t>predstečajnom</w:t>
      </w:r>
      <w:proofErr w:type="spellEnd"/>
      <w:r w:rsidRPr="001F4758">
        <w:rPr>
          <w:sz w:val="24"/>
          <w:szCs w:val="24"/>
        </w:rPr>
        <w:t xml:space="preserve"> postupku povodom  prijedloga dužnika TVRTKA JEDAN  d.o.o., Zagreb, Matije </w:t>
      </w:r>
      <w:proofErr w:type="spellStart"/>
      <w:r w:rsidRPr="001F4758">
        <w:rPr>
          <w:sz w:val="24"/>
          <w:szCs w:val="24"/>
        </w:rPr>
        <w:t>Divkovića</w:t>
      </w:r>
      <w:proofErr w:type="spellEnd"/>
      <w:r w:rsidRPr="001F4758">
        <w:rPr>
          <w:sz w:val="24"/>
          <w:szCs w:val="24"/>
        </w:rPr>
        <w:t xml:space="preserve"> </w:t>
      </w:r>
      <w:proofErr w:type="spellStart"/>
      <w:r w:rsidRPr="001F4758">
        <w:rPr>
          <w:sz w:val="24"/>
          <w:szCs w:val="24"/>
        </w:rPr>
        <w:t>25</w:t>
      </w:r>
      <w:proofErr w:type="spellEnd"/>
      <w:r w:rsidRPr="001F4758">
        <w:rPr>
          <w:sz w:val="24"/>
          <w:szCs w:val="24"/>
        </w:rPr>
        <w:t xml:space="preserve">, </w:t>
      </w:r>
      <w:proofErr w:type="spellStart"/>
      <w:r w:rsidRPr="001F4758">
        <w:rPr>
          <w:sz w:val="24"/>
          <w:szCs w:val="24"/>
        </w:rPr>
        <w:t>OIB</w:t>
      </w:r>
      <w:proofErr w:type="spellEnd"/>
      <w:r w:rsidRPr="001F4758">
        <w:rPr>
          <w:sz w:val="24"/>
          <w:szCs w:val="24"/>
        </w:rPr>
        <w:t xml:space="preserve">: </w:t>
      </w:r>
      <w:proofErr w:type="spellStart"/>
      <w:r w:rsidR="00680518">
        <w:rPr>
          <w:sz w:val="24"/>
          <w:szCs w:val="24"/>
        </w:rPr>
        <w:t>555</w:t>
      </w:r>
      <w:proofErr w:type="spellEnd"/>
      <w:r w:rsidRPr="001F4758">
        <w:rPr>
          <w:sz w:val="24"/>
          <w:szCs w:val="24"/>
        </w:rPr>
        <w:t xml:space="preserve">, , dana </w:t>
      </w:r>
      <w:proofErr w:type="spellStart"/>
      <w:r w:rsidRPr="001F4758">
        <w:rPr>
          <w:sz w:val="24"/>
          <w:szCs w:val="24"/>
        </w:rPr>
        <w:t>25</w:t>
      </w:r>
      <w:proofErr w:type="spellEnd"/>
      <w:r w:rsidRPr="001F4758">
        <w:rPr>
          <w:sz w:val="24"/>
          <w:szCs w:val="24"/>
        </w:rPr>
        <w:t xml:space="preserve">. </w:t>
      </w:r>
      <w:r w:rsidR="001D6B59">
        <w:rPr>
          <w:sz w:val="24"/>
          <w:szCs w:val="24"/>
        </w:rPr>
        <w:t>listopada</w:t>
      </w:r>
      <w:r w:rsidRPr="001F4758">
        <w:rPr>
          <w:sz w:val="24"/>
          <w:szCs w:val="24"/>
        </w:rPr>
        <w:t xml:space="preserve"> </w:t>
      </w:r>
      <w:proofErr w:type="spellStart"/>
      <w:r w:rsidRPr="001F4758">
        <w:rPr>
          <w:sz w:val="24"/>
          <w:szCs w:val="24"/>
        </w:rPr>
        <w:t>2015</w:t>
      </w:r>
      <w:proofErr w:type="spellEnd"/>
      <w:r w:rsidRPr="001F4758">
        <w:rPr>
          <w:sz w:val="24"/>
          <w:szCs w:val="24"/>
        </w:rPr>
        <w:t>. godine</w:t>
      </w:r>
    </w:p>
    <w:p w:rsidR="001F4758" w:rsidRPr="001F4758" w:rsidRDefault="001F4758" w:rsidP="001F4758">
      <w:pPr>
        <w:jc w:val="center"/>
        <w:rPr>
          <w:sz w:val="24"/>
          <w:szCs w:val="24"/>
        </w:rPr>
      </w:pPr>
    </w:p>
    <w:p w:rsidR="001F4758" w:rsidRPr="001F4758" w:rsidRDefault="001F4758" w:rsidP="001F4758">
      <w:pPr>
        <w:jc w:val="center"/>
        <w:rPr>
          <w:sz w:val="24"/>
          <w:szCs w:val="24"/>
        </w:rPr>
      </w:pPr>
      <w:r w:rsidRPr="001F4758">
        <w:rPr>
          <w:sz w:val="24"/>
          <w:szCs w:val="24"/>
        </w:rPr>
        <w:t>z a k l j u č i o   j e</w:t>
      </w:r>
    </w:p>
    <w:p w:rsidR="001F4758" w:rsidRPr="001F4758" w:rsidRDefault="001F4758" w:rsidP="001F4758">
      <w:pPr>
        <w:jc w:val="both"/>
        <w:rPr>
          <w:sz w:val="24"/>
          <w:szCs w:val="24"/>
        </w:rPr>
      </w:pP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</w:p>
    <w:p w:rsidR="001F4758" w:rsidRPr="001F4758" w:rsidRDefault="001F4758" w:rsidP="001F4758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Temeljem odredbe čl. </w:t>
      </w:r>
      <w:proofErr w:type="spellStart"/>
      <w:r w:rsidRPr="001F4758">
        <w:rPr>
          <w:rFonts w:ascii="Times New Roman" w:hAnsi="Times New Roman"/>
          <w:szCs w:val="24"/>
          <w:lang w:val="hr-HR"/>
        </w:rPr>
        <w:t>31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. st. 2. Stečajno zakona (NN </w:t>
      </w:r>
      <w:proofErr w:type="spellStart"/>
      <w:r w:rsidRPr="001F4758">
        <w:rPr>
          <w:rFonts w:ascii="Times New Roman" w:hAnsi="Times New Roman"/>
          <w:szCs w:val="24"/>
          <w:lang w:val="hr-HR"/>
        </w:rPr>
        <w:t>71</w:t>
      </w:r>
      <w:proofErr w:type="spellEnd"/>
      <w:r w:rsidRPr="001F4758">
        <w:rPr>
          <w:rFonts w:ascii="Times New Roman" w:hAnsi="Times New Roman"/>
          <w:szCs w:val="24"/>
          <w:lang w:val="hr-HR"/>
        </w:rPr>
        <w:t>/</w:t>
      </w:r>
      <w:proofErr w:type="spellStart"/>
      <w:r w:rsidRPr="001F4758">
        <w:rPr>
          <w:rFonts w:ascii="Times New Roman" w:hAnsi="Times New Roman"/>
          <w:szCs w:val="24"/>
          <w:lang w:val="hr-HR"/>
        </w:rPr>
        <w:t>15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; dalje </w:t>
      </w:r>
      <w:proofErr w:type="spellStart"/>
      <w:r w:rsidRPr="001F4758">
        <w:rPr>
          <w:rFonts w:ascii="Times New Roman" w:hAnsi="Times New Roman"/>
          <w:szCs w:val="24"/>
          <w:lang w:val="hr-HR"/>
        </w:rPr>
        <w:t>SZ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), nalaže se podnositelju prijedloga za otvaranjem stečajnog postupka – dužniku </w:t>
      </w:r>
      <w:proofErr w:type="spellStart"/>
      <w:r w:rsidRPr="001F4758">
        <w:rPr>
          <w:rFonts w:ascii="Times New Roman" w:hAnsi="Times New Roman"/>
          <w:szCs w:val="24"/>
        </w:rPr>
        <w:t>TVRTKA</w:t>
      </w:r>
      <w:proofErr w:type="spellEnd"/>
      <w:r w:rsidRPr="001F4758">
        <w:rPr>
          <w:rFonts w:ascii="Times New Roman" w:hAnsi="Times New Roman"/>
          <w:szCs w:val="24"/>
        </w:rPr>
        <w:t xml:space="preserve"> </w:t>
      </w:r>
      <w:proofErr w:type="spellStart"/>
      <w:r w:rsidRPr="001F4758">
        <w:rPr>
          <w:rFonts w:ascii="Times New Roman" w:hAnsi="Times New Roman"/>
          <w:szCs w:val="24"/>
        </w:rPr>
        <w:t>JEDAN</w:t>
      </w:r>
      <w:proofErr w:type="spellEnd"/>
      <w:r w:rsidRPr="001F4758">
        <w:rPr>
          <w:rFonts w:ascii="Times New Roman" w:hAnsi="Times New Roman"/>
          <w:szCs w:val="24"/>
        </w:rPr>
        <w:t xml:space="preserve">  d.o.o., Zagreb, </w:t>
      </w:r>
      <w:proofErr w:type="spellStart"/>
      <w:r w:rsidRPr="001F4758">
        <w:rPr>
          <w:rFonts w:ascii="Times New Roman" w:hAnsi="Times New Roman"/>
          <w:szCs w:val="24"/>
        </w:rPr>
        <w:t>Matije</w:t>
      </w:r>
      <w:proofErr w:type="spellEnd"/>
      <w:r w:rsidRPr="001F4758">
        <w:rPr>
          <w:rFonts w:ascii="Times New Roman" w:hAnsi="Times New Roman"/>
          <w:szCs w:val="24"/>
        </w:rPr>
        <w:t xml:space="preserve"> </w:t>
      </w:r>
      <w:proofErr w:type="spellStart"/>
      <w:r w:rsidRPr="001F4758">
        <w:rPr>
          <w:rFonts w:ascii="Times New Roman" w:hAnsi="Times New Roman"/>
          <w:szCs w:val="24"/>
        </w:rPr>
        <w:t>Divkovića</w:t>
      </w:r>
      <w:proofErr w:type="spellEnd"/>
      <w:r w:rsidRPr="001F4758">
        <w:rPr>
          <w:rFonts w:ascii="Times New Roman" w:hAnsi="Times New Roman"/>
          <w:szCs w:val="24"/>
        </w:rPr>
        <w:t xml:space="preserve"> 25, </w:t>
      </w:r>
      <w:proofErr w:type="spellStart"/>
      <w:r w:rsidRPr="001F4758">
        <w:rPr>
          <w:rFonts w:ascii="Times New Roman" w:hAnsi="Times New Roman"/>
          <w:szCs w:val="24"/>
        </w:rPr>
        <w:t>OIB</w:t>
      </w:r>
      <w:proofErr w:type="spellEnd"/>
      <w:r w:rsidRPr="001F4758">
        <w:rPr>
          <w:rFonts w:ascii="Times New Roman" w:hAnsi="Times New Roman"/>
          <w:szCs w:val="24"/>
        </w:rPr>
        <w:t xml:space="preserve">: </w:t>
      </w:r>
      <w:r w:rsidR="00680518">
        <w:rPr>
          <w:rFonts w:ascii="Times New Roman" w:hAnsi="Times New Roman"/>
          <w:szCs w:val="24"/>
        </w:rPr>
        <w:t>555</w:t>
      </w:r>
      <w:bookmarkStart w:id="0" w:name="_GoBack"/>
      <w:bookmarkEnd w:id="0"/>
      <w:r w:rsidRPr="001F4758">
        <w:rPr>
          <w:rFonts w:ascii="Times New Roman" w:hAnsi="Times New Roman"/>
          <w:szCs w:val="24"/>
          <w:lang w:val="hr-HR"/>
        </w:rPr>
        <w:t xml:space="preserve">, da u roku </w:t>
      </w:r>
      <w:proofErr w:type="gramStart"/>
      <w:r w:rsidRPr="001F4758">
        <w:rPr>
          <w:rFonts w:ascii="Times New Roman" w:hAnsi="Times New Roman"/>
          <w:szCs w:val="24"/>
          <w:lang w:val="hr-HR"/>
        </w:rPr>
        <w:t>od</w:t>
      </w:r>
      <w:proofErr w:type="gramEnd"/>
      <w:r w:rsidRPr="001F4758">
        <w:rPr>
          <w:rFonts w:ascii="Times New Roman" w:hAnsi="Times New Roman"/>
          <w:szCs w:val="24"/>
          <w:lang w:val="hr-HR"/>
        </w:rPr>
        <w:t xml:space="preserve"> 8 dana dopuni prijedlog podnesen ovom sudu dana </w:t>
      </w:r>
      <w:proofErr w:type="spellStart"/>
      <w:r w:rsidRPr="001F4758">
        <w:rPr>
          <w:rFonts w:ascii="Times New Roman" w:hAnsi="Times New Roman"/>
          <w:szCs w:val="24"/>
          <w:lang w:val="hr-HR"/>
        </w:rPr>
        <w:t>16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. studenog </w:t>
      </w:r>
      <w:proofErr w:type="spellStart"/>
      <w:r w:rsidRPr="001F4758">
        <w:rPr>
          <w:rFonts w:ascii="Times New Roman" w:hAnsi="Times New Roman"/>
          <w:szCs w:val="24"/>
          <w:lang w:val="hr-HR"/>
        </w:rPr>
        <w:t>2015</w:t>
      </w:r>
      <w:proofErr w:type="spellEnd"/>
      <w:r w:rsidRPr="001F4758">
        <w:rPr>
          <w:rFonts w:ascii="Times New Roman" w:hAnsi="Times New Roman"/>
          <w:szCs w:val="24"/>
          <w:lang w:val="hr-HR"/>
        </w:rPr>
        <w:t>. godine na način da:</w:t>
      </w:r>
    </w:p>
    <w:p w:rsidR="001F4758" w:rsidRPr="001F4758" w:rsidRDefault="001F4758" w:rsidP="001F4758">
      <w:pPr>
        <w:pStyle w:val="Odlomakpopisa"/>
        <w:ind w:left="709"/>
        <w:jc w:val="both"/>
        <w:rPr>
          <w:rFonts w:ascii="Times New Roman" w:hAnsi="Times New Roman"/>
          <w:szCs w:val="24"/>
          <w:lang w:val="hr-HR"/>
        </w:rPr>
      </w:pPr>
    </w:p>
    <w:p w:rsidR="001F4758" w:rsidRPr="001F4758" w:rsidRDefault="001F4758" w:rsidP="001F475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sukladno čl. 4. </w:t>
      </w:r>
      <w:proofErr w:type="spellStart"/>
      <w:r w:rsidRPr="001F4758">
        <w:rPr>
          <w:rFonts w:ascii="Times New Roman" w:hAnsi="Times New Roman"/>
          <w:szCs w:val="24"/>
          <w:lang w:val="hr-HR"/>
        </w:rPr>
        <w:t>SZ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-a dostavi dokaz o postojanju </w:t>
      </w:r>
      <w:proofErr w:type="spellStart"/>
      <w:r w:rsidRPr="001F4758">
        <w:rPr>
          <w:rFonts w:ascii="Times New Roman" w:hAnsi="Times New Roman"/>
          <w:szCs w:val="24"/>
          <w:lang w:val="hr-HR"/>
        </w:rPr>
        <w:t>predstečajnog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 razloga</w:t>
      </w:r>
    </w:p>
    <w:p w:rsidR="001F4758" w:rsidRPr="001F4758" w:rsidRDefault="001F4758" w:rsidP="001F4758">
      <w:pPr>
        <w:pStyle w:val="Odlomakpopisa"/>
        <w:ind w:left="1069"/>
        <w:jc w:val="both"/>
        <w:rPr>
          <w:rFonts w:ascii="Times New Roman" w:hAnsi="Times New Roman"/>
          <w:szCs w:val="24"/>
          <w:lang w:val="hr-HR"/>
        </w:rPr>
      </w:pPr>
    </w:p>
    <w:p w:rsidR="001F4758" w:rsidRPr="001F4758" w:rsidRDefault="001F4758" w:rsidP="001F475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sukladno čl. </w:t>
      </w:r>
      <w:proofErr w:type="spellStart"/>
      <w:r w:rsidRPr="001F4758">
        <w:rPr>
          <w:rFonts w:ascii="Times New Roman" w:hAnsi="Times New Roman"/>
          <w:szCs w:val="24"/>
          <w:lang w:val="hr-HR"/>
        </w:rPr>
        <w:t>16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. st. 1. i čl. </w:t>
      </w:r>
      <w:proofErr w:type="spellStart"/>
      <w:r w:rsidRPr="001F4758">
        <w:rPr>
          <w:rFonts w:ascii="Times New Roman" w:hAnsi="Times New Roman"/>
          <w:szCs w:val="24"/>
          <w:lang w:val="hr-HR"/>
        </w:rPr>
        <w:t>17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. </w:t>
      </w:r>
      <w:proofErr w:type="spellStart"/>
      <w:r w:rsidRPr="001F4758">
        <w:rPr>
          <w:rFonts w:ascii="Times New Roman" w:hAnsi="Times New Roman"/>
          <w:szCs w:val="24"/>
          <w:lang w:val="hr-HR"/>
        </w:rPr>
        <w:t>SZ</w:t>
      </w:r>
      <w:proofErr w:type="spellEnd"/>
      <w:r w:rsidRPr="001F4758">
        <w:rPr>
          <w:rFonts w:ascii="Times New Roman" w:hAnsi="Times New Roman"/>
          <w:szCs w:val="24"/>
          <w:lang w:val="hr-HR"/>
        </w:rPr>
        <w:t>-a dostavi popis imovine i obveza dužnika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ind w:left="1843" w:hanging="283"/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nekretnine i pokretnine dužnika, 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ind w:left="1843" w:hanging="283"/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imovinska prava dužnika na tuđim stvarima, 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ind w:left="1843" w:hanging="283"/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novčane i nenovčane tražbine dužnika, 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ind w:left="1843" w:hanging="283"/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druga prava koja čine imovinu dužnika, 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ind w:left="1843" w:hanging="283"/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>novčana sredstva na računima dužnika i drugu imovinu dužnika,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ind w:left="1843" w:hanging="283"/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>obveze dužnika unesene u njegove poslovne knjige,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ind w:left="1843" w:hanging="283"/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druge novčane i nenovčane obveze dužnika, 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ind w:left="1843" w:hanging="283"/>
        <w:jc w:val="both"/>
        <w:rPr>
          <w:rFonts w:ascii="Times New Roman" w:hAnsi="Times New Roman"/>
          <w:szCs w:val="24"/>
          <w:lang w:val="hr-HR"/>
        </w:rPr>
      </w:pPr>
      <w:proofErr w:type="spellStart"/>
      <w:r w:rsidRPr="001F4758">
        <w:rPr>
          <w:rFonts w:ascii="Times New Roman" w:hAnsi="Times New Roman"/>
          <w:szCs w:val="24"/>
          <w:lang w:val="hr-HR"/>
        </w:rPr>
        <w:t>razlučna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 prava na imovini dužnika,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ind w:left="1843" w:hanging="283"/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>izlučna prava,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ind w:left="1843" w:hanging="283"/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>prosječne mjesečne troškove redovnog poslovanja dužnika u posljednjih godinu dana,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ind w:left="1843" w:hanging="283"/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postupke pred sudovima ili javnopravnim tijelima u kojima je dužnik stranka i visinu ili opis tražbine koja je predmet postupka </w:t>
      </w:r>
    </w:p>
    <w:p w:rsidR="001F4758" w:rsidRPr="001F4758" w:rsidRDefault="001F4758" w:rsidP="001F4758">
      <w:pPr>
        <w:pStyle w:val="Odlomakpopisa"/>
        <w:ind w:left="1843"/>
        <w:jc w:val="both"/>
        <w:rPr>
          <w:rFonts w:ascii="Times New Roman" w:hAnsi="Times New Roman"/>
          <w:szCs w:val="24"/>
          <w:lang w:val="hr-HR"/>
        </w:rPr>
      </w:pPr>
    </w:p>
    <w:p w:rsidR="001F4758" w:rsidRPr="001F4758" w:rsidRDefault="001F4758" w:rsidP="001F4758">
      <w:pPr>
        <w:ind w:firstLine="720"/>
        <w:jc w:val="both"/>
        <w:rPr>
          <w:sz w:val="24"/>
          <w:szCs w:val="24"/>
        </w:rPr>
      </w:pPr>
      <w:r w:rsidRPr="001F4758">
        <w:rPr>
          <w:sz w:val="24"/>
          <w:szCs w:val="24"/>
        </w:rPr>
        <w:t>U popisu imovine i obveza moraju se navesti podaci o pravnoj i činjeničnoj osnovi u odnosu na svaki dio imovine i obveza, dokazi, osobito isprave kojima se oni mogu potkrijepiti i potvrditi da su navedeni podaci točni i potpuni i da ništa od imovine i obveza nije zatajeno.</w:t>
      </w:r>
    </w:p>
    <w:p w:rsidR="001F4758" w:rsidRPr="001F4758" w:rsidRDefault="001F4758" w:rsidP="001F4758">
      <w:pPr>
        <w:ind w:firstLine="720"/>
        <w:jc w:val="both"/>
        <w:rPr>
          <w:sz w:val="24"/>
          <w:szCs w:val="24"/>
        </w:rPr>
      </w:pPr>
    </w:p>
    <w:p w:rsidR="001F4758" w:rsidRPr="001F4758" w:rsidRDefault="001F4758" w:rsidP="001F4758">
      <w:pPr>
        <w:ind w:firstLine="720"/>
        <w:jc w:val="both"/>
        <w:rPr>
          <w:sz w:val="24"/>
          <w:szCs w:val="24"/>
        </w:rPr>
      </w:pPr>
      <w:r w:rsidRPr="001F4758">
        <w:rPr>
          <w:sz w:val="24"/>
          <w:szCs w:val="24"/>
        </w:rPr>
        <w:t>Za davanje neistinitoga ili nepotpunoga popisa imovine i obveza, dužnik odgovara kao za davanje lažnog iskaza u postupku pred sudom.</w:t>
      </w:r>
    </w:p>
    <w:p w:rsidR="001F4758" w:rsidRPr="001F4758" w:rsidRDefault="001F4758" w:rsidP="001F4758">
      <w:pPr>
        <w:ind w:firstLine="720"/>
        <w:jc w:val="both"/>
        <w:rPr>
          <w:sz w:val="24"/>
          <w:szCs w:val="24"/>
        </w:rPr>
      </w:pPr>
    </w:p>
    <w:p w:rsidR="001F4758" w:rsidRPr="001F4758" w:rsidRDefault="001F4758" w:rsidP="001F475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sukladno čl. </w:t>
      </w:r>
      <w:proofErr w:type="spellStart"/>
      <w:r w:rsidRPr="001F4758">
        <w:rPr>
          <w:rFonts w:ascii="Times New Roman" w:hAnsi="Times New Roman"/>
          <w:szCs w:val="24"/>
          <w:lang w:val="hr-HR"/>
        </w:rPr>
        <w:t>26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. </w:t>
      </w:r>
      <w:proofErr w:type="spellStart"/>
      <w:r w:rsidRPr="001F4758">
        <w:rPr>
          <w:rFonts w:ascii="Times New Roman" w:hAnsi="Times New Roman"/>
          <w:szCs w:val="24"/>
          <w:lang w:val="hr-HR"/>
        </w:rPr>
        <w:t>SZ</w:t>
      </w:r>
      <w:proofErr w:type="spellEnd"/>
      <w:r w:rsidRPr="001F4758">
        <w:rPr>
          <w:rFonts w:ascii="Times New Roman" w:hAnsi="Times New Roman"/>
          <w:szCs w:val="24"/>
          <w:lang w:val="hr-HR"/>
        </w:rPr>
        <w:t>-a dostavi: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financijske izvještaje u skladu sa Zakonom o računovodstvu koji nisu stariji od 3 mjeseca od dana podnošenja prijedloga za otvaranje </w:t>
      </w:r>
      <w:proofErr w:type="spellStart"/>
      <w:r w:rsidRPr="001F4758">
        <w:rPr>
          <w:rFonts w:ascii="Times New Roman" w:hAnsi="Times New Roman"/>
          <w:szCs w:val="24"/>
          <w:lang w:val="hr-HR"/>
        </w:rPr>
        <w:t>predstečajnoga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 postupka, s time da se usporedni podaci u financijskim izvještajnima iskazuju sa stanjem na dan godišnjih financijskih izvještaja prethodne godine, odnosno </w:t>
      </w:r>
      <w:r w:rsidRPr="001F4758">
        <w:rPr>
          <w:rFonts w:ascii="Times New Roman" w:hAnsi="Times New Roman"/>
          <w:szCs w:val="24"/>
          <w:lang w:val="hr-HR"/>
        </w:rPr>
        <w:lastRenderedPageBreak/>
        <w:t>evidencije koje dužnik vodi u skladu s poreznim propisima, ako je dužnik obveznik poreza na dohodak.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opis pregovora s vjerovnicima, ako su prethodili prijedlogu za otvaranjem </w:t>
      </w:r>
      <w:proofErr w:type="spellStart"/>
      <w:r w:rsidRPr="001F4758">
        <w:rPr>
          <w:rFonts w:ascii="Times New Roman" w:hAnsi="Times New Roman"/>
          <w:szCs w:val="24"/>
          <w:lang w:val="hr-HR"/>
        </w:rPr>
        <w:t>predstečajnog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 postupka, uključujući i potrebne obavijesti dostavljene vjerovnicima koji sudjeluju u postupku.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>dokaz o ukupnoj aktivi i dokaz o ukupnom prihodu za prethodnu godinu i broju zaposlenih na zadnji dan u mjesecu koji prethodi danu podnošenja prijedloga</w:t>
      </w:r>
    </w:p>
    <w:p w:rsidR="001F4758" w:rsidRPr="001F4758" w:rsidRDefault="001F4758" w:rsidP="001F475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plan restrukturiranja, sukladno čl. </w:t>
      </w:r>
      <w:proofErr w:type="spellStart"/>
      <w:r w:rsidRPr="001F4758">
        <w:rPr>
          <w:rFonts w:ascii="Times New Roman" w:hAnsi="Times New Roman"/>
          <w:szCs w:val="24"/>
          <w:lang w:val="hr-HR"/>
        </w:rPr>
        <w:t>27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. </w:t>
      </w:r>
      <w:proofErr w:type="spellStart"/>
      <w:r w:rsidRPr="001F4758">
        <w:rPr>
          <w:rFonts w:ascii="Times New Roman" w:hAnsi="Times New Roman"/>
          <w:szCs w:val="24"/>
          <w:lang w:val="hr-HR"/>
        </w:rPr>
        <w:t>SZ</w:t>
      </w:r>
      <w:proofErr w:type="spellEnd"/>
      <w:r w:rsidRPr="001F4758">
        <w:rPr>
          <w:rFonts w:ascii="Times New Roman" w:hAnsi="Times New Roman"/>
          <w:szCs w:val="24"/>
          <w:lang w:val="hr-HR"/>
        </w:rPr>
        <w:t>-a, koji mora sadržavati:</w:t>
      </w:r>
    </w:p>
    <w:p w:rsidR="001F4758" w:rsidRPr="001F4758" w:rsidRDefault="001F4758" w:rsidP="001F4758">
      <w:pPr>
        <w:pStyle w:val="Odlomakpopisa"/>
        <w:ind w:left="1429"/>
        <w:jc w:val="both"/>
        <w:rPr>
          <w:rFonts w:ascii="Times New Roman" w:hAnsi="Times New Roman"/>
          <w:szCs w:val="24"/>
          <w:lang w:val="hr-HR"/>
        </w:rPr>
      </w:pPr>
    </w:p>
    <w:p w:rsidR="001F4758" w:rsidRPr="001F4758" w:rsidRDefault="001F4758" w:rsidP="001F4758">
      <w:pPr>
        <w:pStyle w:val="StandardWeb"/>
        <w:numPr>
          <w:ilvl w:val="0"/>
          <w:numId w:val="4"/>
        </w:numPr>
        <w:spacing w:after="0"/>
        <w:jc w:val="both"/>
      </w:pPr>
      <w:r w:rsidRPr="001F4758">
        <w:t>činjenice i okolnosti iz kojih proizlazi postojanje prijeteće nesposobnosti za plaćanje</w:t>
      </w:r>
    </w:p>
    <w:p w:rsidR="001F4758" w:rsidRPr="001F4758" w:rsidRDefault="001F4758" w:rsidP="001F4758">
      <w:pPr>
        <w:pStyle w:val="StandardWeb"/>
        <w:spacing w:after="0"/>
        <w:ind w:left="1789"/>
        <w:jc w:val="both"/>
      </w:pPr>
    </w:p>
    <w:p w:rsidR="001F4758" w:rsidRPr="001F4758" w:rsidRDefault="001F4758" w:rsidP="001F4758">
      <w:pPr>
        <w:pStyle w:val="StandardWeb"/>
        <w:numPr>
          <w:ilvl w:val="0"/>
          <w:numId w:val="4"/>
        </w:numPr>
        <w:spacing w:after="0"/>
        <w:jc w:val="both"/>
      </w:pPr>
      <w:r w:rsidRPr="001F4758">
        <w:t>izračun manjka likvidnih sredstava na dan priloženih financijskih izvještaja</w:t>
      </w:r>
    </w:p>
    <w:p w:rsidR="001F4758" w:rsidRPr="001F4758" w:rsidRDefault="001F4758" w:rsidP="001F4758">
      <w:pPr>
        <w:pStyle w:val="StandardWeb"/>
        <w:spacing w:after="0"/>
        <w:jc w:val="both"/>
      </w:pPr>
    </w:p>
    <w:p w:rsidR="001F4758" w:rsidRPr="001F4758" w:rsidRDefault="001F4758" w:rsidP="001F4758">
      <w:pPr>
        <w:pStyle w:val="StandardWeb"/>
        <w:numPr>
          <w:ilvl w:val="0"/>
          <w:numId w:val="4"/>
        </w:numPr>
        <w:spacing w:after="0"/>
        <w:jc w:val="both"/>
      </w:pPr>
      <w:r w:rsidRPr="001F4758">
        <w:t>mjere financijskoga restrukturiranja i izračun njihovih učinaka na manjak likvidnih sredstava</w:t>
      </w:r>
    </w:p>
    <w:p w:rsidR="001F4758" w:rsidRPr="001F4758" w:rsidRDefault="001F4758" w:rsidP="001F4758">
      <w:pPr>
        <w:pStyle w:val="StandardWeb"/>
        <w:spacing w:after="0"/>
        <w:jc w:val="both"/>
      </w:pPr>
    </w:p>
    <w:p w:rsidR="001F4758" w:rsidRPr="001F4758" w:rsidRDefault="001F4758" w:rsidP="001F4758">
      <w:pPr>
        <w:pStyle w:val="StandardWeb"/>
        <w:numPr>
          <w:ilvl w:val="0"/>
          <w:numId w:val="4"/>
        </w:numPr>
        <w:spacing w:after="0"/>
        <w:jc w:val="both"/>
      </w:pPr>
      <w:r w:rsidRPr="001F4758">
        <w:t>mjere operativnoga restrukturiranja i izračun njihovih učinaka na poslovanje</w:t>
      </w:r>
    </w:p>
    <w:p w:rsidR="001F4758" w:rsidRPr="001F4758" w:rsidRDefault="001F4758" w:rsidP="001F4758">
      <w:pPr>
        <w:pStyle w:val="StandardWeb"/>
        <w:spacing w:after="0"/>
        <w:jc w:val="both"/>
      </w:pPr>
    </w:p>
    <w:p w:rsidR="001F4758" w:rsidRPr="001F4758" w:rsidRDefault="001F4758" w:rsidP="001F4758">
      <w:pPr>
        <w:pStyle w:val="StandardWeb"/>
        <w:numPr>
          <w:ilvl w:val="0"/>
          <w:numId w:val="4"/>
        </w:numPr>
        <w:spacing w:after="0"/>
        <w:jc w:val="both"/>
      </w:pPr>
      <w:r w:rsidRPr="001F4758">
        <w:t>plan poslovanja za razdoblje do kraja tekuće i za dvije sljedeće kalendarske godine uz detaljno obrazloženje razloga za utvrđivanje svake pozicije plana</w:t>
      </w:r>
    </w:p>
    <w:p w:rsidR="001F4758" w:rsidRPr="001F4758" w:rsidRDefault="001F4758" w:rsidP="001F4758">
      <w:pPr>
        <w:pStyle w:val="StandardWeb"/>
        <w:spacing w:after="0"/>
        <w:ind w:left="1429"/>
        <w:jc w:val="both"/>
      </w:pPr>
    </w:p>
    <w:p w:rsidR="001F4758" w:rsidRPr="001F4758" w:rsidRDefault="001F4758" w:rsidP="001F4758">
      <w:pPr>
        <w:pStyle w:val="StandardWeb"/>
        <w:numPr>
          <w:ilvl w:val="0"/>
          <w:numId w:val="4"/>
        </w:numPr>
        <w:spacing w:after="0"/>
        <w:jc w:val="both"/>
      </w:pPr>
      <w:r w:rsidRPr="001F4758">
        <w:t>planiranu bilancu na zadnji dan razdoblja za koje je sastavljen plan poslovanja</w:t>
      </w:r>
    </w:p>
    <w:p w:rsidR="001F4758" w:rsidRPr="001F4758" w:rsidRDefault="001F4758" w:rsidP="001F4758">
      <w:pPr>
        <w:pStyle w:val="StandardWeb"/>
        <w:spacing w:after="0"/>
        <w:jc w:val="both"/>
      </w:pPr>
    </w:p>
    <w:p w:rsidR="001F4758" w:rsidRPr="001F4758" w:rsidRDefault="001F4758" w:rsidP="001F4758">
      <w:pPr>
        <w:pStyle w:val="StandardWeb"/>
        <w:numPr>
          <w:ilvl w:val="0"/>
          <w:numId w:val="4"/>
        </w:numPr>
        <w:spacing w:after="0"/>
        <w:jc w:val="both"/>
      </w:pPr>
      <w:r w:rsidRPr="001F4758">
        <w:t xml:space="preserve">analizu svih tražbina prema visini i vrsti (tražbine radnika i prijašnjih dužnikovih radnika, izlučna prava, </w:t>
      </w:r>
      <w:proofErr w:type="spellStart"/>
      <w:r w:rsidRPr="001F4758">
        <w:t>razlučna</w:t>
      </w:r>
      <w:proofErr w:type="spellEnd"/>
      <w:r w:rsidRPr="001F4758">
        <w:t xml:space="preserve"> prava, tražbine za koje se vodi postupak, neosigurane tražbine i druge tražbine)</w:t>
      </w:r>
    </w:p>
    <w:p w:rsidR="001F4758" w:rsidRPr="001F4758" w:rsidRDefault="001F4758" w:rsidP="001F4758">
      <w:pPr>
        <w:pStyle w:val="StandardWeb"/>
        <w:spacing w:after="0"/>
        <w:jc w:val="both"/>
      </w:pPr>
    </w:p>
    <w:p w:rsidR="001F4758" w:rsidRPr="001F4758" w:rsidRDefault="001F4758" w:rsidP="001F4758">
      <w:pPr>
        <w:pStyle w:val="StandardWeb"/>
        <w:numPr>
          <w:ilvl w:val="0"/>
          <w:numId w:val="4"/>
        </w:numPr>
        <w:spacing w:after="0"/>
        <w:jc w:val="both"/>
      </w:pPr>
      <w:r w:rsidRPr="001F4758">
        <w:t>ponudu vjerovnicima razvrstanim u skupine odgovarajućom primjenom pravila o razvrstavanju sudionika u stečajnom planu o načinu, rokovima i uvjetima namirenja tražbina</w:t>
      </w:r>
    </w:p>
    <w:p w:rsidR="001F4758" w:rsidRPr="001F4758" w:rsidRDefault="001F4758" w:rsidP="001F4758">
      <w:pPr>
        <w:pStyle w:val="StandardWeb"/>
        <w:spacing w:after="0"/>
        <w:jc w:val="both"/>
      </w:pPr>
    </w:p>
    <w:p w:rsidR="001F4758" w:rsidRPr="001F4758" w:rsidRDefault="001F4758" w:rsidP="001F4758">
      <w:pPr>
        <w:pStyle w:val="StandardWeb"/>
        <w:numPr>
          <w:ilvl w:val="0"/>
          <w:numId w:val="4"/>
        </w:numPr>
        <w:spacing w:after="0"/>
        <w:jc w:val="both"/>
      </w:pPr>
      <w:r w:rsidRPr="001F4758">
        <w:t>rok za dobrovoljno ispunjenje i</w:t>
      </w:r>
    </w:p>
    <w:p w:rsidR="001F4758" w:rsidRPr="001F4758" w:rsidRDefault="001F4758" w:rsidP="001F4758">
      <w:pPr>
        <w:pStyle w:val="StandardWeb"/>
        <w:spacing w:after="0"/>
        <w:jc w:val="both"/>
      </w:pPr>
    </w:p>
    <w:p w:rsidR="001F4758" w:rsidRPr="001F4758" w:rsidRDefault="001F4758" w:rsidP="001F4758">
      <w:pPr>
        <w:pStyle w:val="StandardWeb"/>
        <w:spacing w:after="0"/>
        <w:ind w:left="1429"/>
        <w:jc w:val="both"/>
      </w:pPr>
      <w:proofErr w:type="spellStart"/>
      <w:r w:rsidRPr="001F4758">
        <w:t>10</w:t>
      </w:r>
      <w:proofErr w:type="spellEnd"/>
      <w:r w:rsidRPr="001F4758">
        <w:t>. planirani iznos troškova restrukturiranja</w:t>
      </w:r>
    </w:p>
    <w:p w:rsidR="001F4758" w:rsidRPr="001F4758" w:rsidRDefault="001F4758" w:rsidP="001F4758">
      <w:pPr>
        <w:pStyle w:val="Odlomakpopisa"/>
        <w:ind w:left="1429"/>
        <w:jc w:val="both"/>
        <w:rPr>
          <w:rFonts w:ascii="Times New Roman" w:hAnsi="Times New Roman"/>
          <w:szCs w:val="24"/>
          <w:lang w:val="hr-HR"/>
        </w:rPr>
      </w:pPr>
    </w:p>
    <w:p w:rsidR="001F4758" w:rsidRPr="001F4758" w:rsidRDefault="001F4758" w:rsidP="001F475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>Ukoliko podnositelj prijedloga ne postupi po točci I.) Izreke ovog rješenje u roku od 8 dana, Sud će prijedlog odbaciti.</w:t>
      </w:r>
    </w:p>
    <w:p w:rsidR="001F4758" w:rsidRPr="001F4758" w:rsidRDefault="001F4758" w:rsidP="001F4758">
      <w:pPr>
        <w:pStyle w:val="Odlomakpopisa"/>
        <w:ind w:left="1080"/>
        <w:jc w:val="both"/>
        <w:rPr>
          <w:rFonts w:ascii="Times New Roman" w:hAnsi="Times New Roman"/>
          <w:szCs w:val="24"/>
          <w:lang w:val="hr-HR"/>
        </w:rPr>
      </w:pPr>
    </w:p>
    <w:p w:rsidR="001F4758" w:rsidRPr="001F4758" w:rsidRDefault="001F4758" w:rsidP="001F4758">
      <w:pPr>
        <w:jc w:val="center"/>
        <w:rPr>
          <w:sz w:val="24"/>
          <w:szCs w:val="24"/>
        </w:rPr>
      </w:pPr>
      <w:r w:rsidRPr="001F4758">
        <w:rPr>
          <w:sz w:val="24"/>
          <w:szCs w:val="24"/>
        </w:rPr>
        <w:t>Obrazloženje</w:t>
      </w:r>
    </w:p>
    <w:p w:rsidR="001F4758" w:rsidRPr="001F4758" w:rsidRDefault="001F4758" w:rsidP="001F4758">
      <w:pPr>
        <w:pStyle w:val="Odlomakpopisa"/>
        <w:ind w:left="1080"/>
        <w:jc w:val="center"/>
        <w:rPr>
          <w:rFonts w:ascii="Times New Roman" w:hAnsi="Times New Roman"/>
          <w:szCs w:val="24"/>
          <w:lang w:val="hr-HR"/>
        </w:rPr>
      </w:pPr>
    </w:p>
    <w:p w:rsidR="001F4758" w:rsidRPr="001F4758" w:rsidRDefault="001F4758" w:rsidP="001F4758">
      <w:pPr>
        <w:pStyle w:val="Odlomakpopisa"/>
        <w:ind w:left="0" w:firstLine="720"/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Temeljem odredbe čl. </w:t>
      </w:r>
      <w:proofErr w:type="spellStart"/>
      <w:r w:rsidRPr="001F4758">
        <w:rPr>
          <w:rFonts w:ascii="Times New Roman" w:hAnsi="Times New Roman"/>
          <w:szCs w:val="24"/>
          <w:lang w:val="hr-HR"/>
        </w:rPr>
        <w:t>31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. st. 1. Stečajnog zakona (NN </w:t>
      </w:r>
      <w:proofErr w:type="spellStart"/>
      <w:r w:rsidRPr="001F4758">
        <w:rPr>
          <w:rFonts w:ascii="Times New Roman" w:hAnsi="Times New Roman"/>
          <w:szCs w:val="24"/>
          <w:lang w:val="hr-HR"/>
        </w:rPr>
        <w:t>71</w:t>
      </w:r>
      <w:proofErr w:type="spellEnd"/>
      <w:r w:rsidRPr="001F4758">
        <w:rPr>
          <w:rFonts w:ascii="Times New Roman" w:hAnsi="Times New Roman"/>
          <w:szCs w:val="24"/>
          <w:lang w:val="hr-HR"/>
        </w:rPr>
        <w:t>/</w:t>
      </w:r>
      <w:proofErr w:type="spellStart"/>
      <w:r w:rsidRPr="001F4758">
        <w:rPr>
          <w:rFonts w:ascii="Times New Roman" w:hAnsi="Times New Roman"/>
          <w:szCs w:val="24"/>
          <w:lang w:val="hr-HR"/>
        </w:rPr>
        <w:t>15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; dalje </w:t>
      </w:r>
      <w:proofErr w:type="spellStart"/>
      <w:r w:rsidRPr="001F4758">
        <w:rPr>
          <w:rFonts w:ascii="Times New Roman" w:hAnsi="Times New Roman"/>
          <w:szCs w:val="24"/>
          <w:lang w:val="hr-HR"/>
        </w:rPr>
        <w:t>SZ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), odlučeno je kao pod točkom I.) Izreke ovog zaključka, budući da prijedlog za otvaranjem </w:t>
      </w:r>
      <w:proofErr w:type="spellStart"/>
      <w:r w:rsidRPr="001F4758">
        <w:rPr>
          <w:rFonts w:ascii="Times New Roman" w:hAnsi="Times New Roman"/>
          <w:szCs w:val="24"/>
          <w:lang w:val="hr-HR"/>
        </w:rPr>
        <w:t>predstečajnog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 postupka podnositelja – samog dužnika od </w:t>
      </w:r>
      <w:proofErr w:type="spellStart"/>
      <w:r w:rsidRPr="001F4758">
        <w:rPr>
          <w:rFonts w:ascii="Times New Roman" w:hAnsi="Times New Roman"/>
          <w:szCs w:val="24"/>
          <w:lang w:val="hr-HR"/>
        </w:rPr>
        <w:t>16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. studenog </w:t>
      </w:r>
      <w:proofErr w:type="spellStart"/>
      <w:r w:rsidRPr="001F4758">
        <w:rPr>
          <w:rFonts w:ascii="Times New Roman" w:hAnsi="Times New Roman"/>
          <w:szCs w:val="24"/>
          <w:lang w:val="hr-HR"/>
        </w:rPr>
        <w:t>2015.godine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, nije potpun u smislu kumulativno potrebnih uvjeta iz čl. </w:t>
      </w:r>
      <w:proofErr w:type="spellStart"/>
      <w:r w:rsidRPr="001F4758">
        <w:rPr>
          <w:rFonts w:ascii="Times New Roman" w:hAnsi="Times New Roman"/>
          <w:szCs w:val="24"/>
          <w:lang w:val="hr-HR"/>
        </w:rPr>
        <w:t>16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. st. 1., </w:t>
      </w:r>
      <w:proofErr w:type="spellStart"/>
      <w:r w:rsidRPr="001F4758">
        <w:rPr>
          <w:rFonts w:ascii="Times New Roman" w:hAnsi="Times New Roman"/>
          <w:szCs w:val="24"/>
          <w:lang w:val="hr-HR"/>
        </w:rPr>
        <w:t>17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., </w:t>
      </w:r>
      <w:proofErr w:type="spellStart"/>
      <w:r w:rsidRPr="001F4758">
        <w:rPr>
          <w:rFonts w:ascii="Times New Roman" w:hAnsi="Times New Roman"/>
          <w:szCs w:val="24"/>
          <w:lang w:val="hr-HR"/>
        </w:rPr>
        <w:t>26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. i </w:t>
      </w:r>
      <w:proofErr w:type="spellStart"/>
      <w:r w:rsidRPr="001F4758">
        <w:rPr>
          <w:rFonts w:ascii="Times New Roman" w:hAnsi="Times New Roman"/>
          <w:szCs w:val="24"/>
          <w:lang w:val="hr-HR"/>
        </w:rPr>
        <w:t>27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. </w:t>
      </w:r>
      <w:proofErr w:type="spellStart"/>
      <w:r w:rsidRPr="001F4758">
        <w:rPr>
          <w:rFonts w:ascii="Times New Roman" w:hAnsi="Times New Roman"/>
          <w:szCs w:val="24"/>
          <w:lang w:val="hr-HR"/>
        </w:rPr>
        <w:t>SZ</w:t>
      </w:r>
      <w:proofErr w:type="spellEnd"/>
      <w:r w:rsidRPr="001F4758">
        <w:rPr>
          <w:rFonts w:ascii="Times New Roman" w:hAnsi="Times New Roman"/>
          <w:szCs w:val="24"/>
          <w:lang w:val="hr-HR"/>
        </w:rPr>
        <w:t>-a, sve kako je gore navedeno, a da bi se po istom moglo postupati.</w:t>
      </w:r>
    </w:p>
    <w:p w:rsidR="001F4758" w:rsidRPr="001F4758" w:rsidRDefault="001F4758" w:rsidP="001F4758">
      <w:pPr>
        <w:pStyle w:val="Odlomakpopisa"/>
        <w:ind w:left="0" w:firstLine="720"/>
        <w:jc w:val="both"/>
        <w:rPr>
          <w:rFonts w:ascii="Times New Roman" w:hAnsi="Times New Roman"/>
          <w:szCs w:val="24"/>
          <w:lang w:val="hr-HR"/>
        </w:rPr>
      </w:pPr>
      <w:r w:rsidRPr="001F4758">
        <w:rPr>
          <w:rFonts w:ascii="Times New Roman" w:hAnsi="Times New Roman"/>
          <w:szCs w:val="24"/>
          <w:lang w:val="hr-HR"/>
        </w:rPr>
        <w:t xml:space="preserve">Sukladno odredbi čl. </w:t>
      </w:r>
      <w:proofErr w:type="spellStart"/>
      <w:r w:rsidRPr="001F4758">
        <w:rPr>
          <w:rFonts w:ascii="Times New Roman" w:hAnsi="Times New Roman"/>
          <w:szCs w:val="24"/>
          <w:lang w:val="hr-HR"/>
        </w:rPr>
        <w:t>31</w:t>
      </w:r>
      <w:proofErr w:type="spellEnd"/>
      <w:r w:rsidRPr="001F4758">
        <w:rPr>
          <w:rFonts w:ascii="Times New Roman" w:hAnsi="Times New Roman"/>
          <w:szCs w:val="24"/>
          <w:lang w:val="hr-HR"/>
        </w:rPr>
        <w:t xml:space="preserve">. st. 3. </w:t>
      </w:r>
      <w:proofErr w:type="spellStart"/>
      <w:r w:rsidRPr="001F4758">
        <w:rPr>
          <w:rFonts w:ascii="Times New Roman" w:hAnsi="Times New Roman"/>
          <w:szCs w:val="24"/>
          <w:lang w:val="hr-HR"/>
        </w:rPr>
        <w:t>SZ</w:t>
      </w:r>
      <w:proofErr w:type="spellEnd"/>
      <w:r w:rsidRPr="001F4758">
        <w:rPr>
          <w:rFonts w:ascii="Times New Roman" w:hAnsi="Times New Roman"/>
          <w:szCs w:val="24"/>
          <w:lang w:val="hr-HR"/>
        </w:rPr>
        <w:t>-a, odlučeno je kao pod točkom II.) Izreke zaključka</w:t>
      </w:r>
    </w:p>
    <w:p w:rsidR="001F4758" w:rsidRPr="001F4758" w:rsidRDefault="001F4758" w:rsidP="001F4758">
      <w:pPr>
        <w:pStyle w:val="Odlomakpopisa"/>
        <w:ind w:left="1069"/>
        <w:jc w:val="both"/>
        <w:rPr>
          <w:rFonts w:ascii="Times New Roman" w:hAnsi="Times New Roman"/>
          <w:szCs w:val="24"/>
          <w:lang w:val="hr-HR"/>
        </w:rPr>
      </w:pPr>
    </w:p>
    <w:p w:rsidR="001F4758" w:rsidRPr="001F4758" w:rsidRDefault="001F4758" w:rsidP="001F4758">
      <w:pPr>
        <w:jc w:val="center"/>
        <w:rPr>
          <w:sz w:val="24"/>
          <w:szCs w:val="24"/>
        </w:rPr>
      </w:pPr>
      <w:r w:rsidRPr="001F4758">
        <w:rPr>
          <w:sz w:val="24"/>
          <w:szCs w:val="24"/>
        </w:rPr>
        <w:lastRenderedPageBreak/>
        <w:t xml:space="preserve">U Zagrebu, </w:t>
      </w:r>
      <w:proofErr w:type="spellStart"/>
      <w:r w:rsidRPr="001F4758">
        <w:rPr>
          <w:sz w:val="24"/>
          <w:szCs w:val="24"/>
        </w:rPr>
        <w:t>25</w:t>
      </w:r>
      <w:proofErr w:type="spellEnd"/>
      <w:r w:rsidRPr="001F4758">
        <w:rPr>
          <w:sz w:val="24"/>
          <w:szCs w:val="24"/>
        </w:rPr>
        <w:t xml:space="preserve">. </w:t>
      </w:r>
      <w:r w:rsidR="001D6B59">
        <w:rPr>
          <w:sz w:val="24"/>
          <w:szCs w:val="24"/>
        </w:rPr>
        <w:t>listopada</w:t>
      </w:r>
      <w:r w:rsidRPr="001F4758">
        <w:rPr>
          <w:sz w:val="24"/>
          <w:szCs w:val="24"/>
        </w:rPr>
        <w:t xml:space="preserve"> </w:t>
      </w:r>
      <w:proofErr w:type="spellStart"/>
      <w:r w:rsidRPr="001F4758">
        <w:rPr>
          <w:sz w:val="24"/>
          <w:szCs w:val="24"/>
        </w:rPr>
        <w:t>2015</w:t>
      </w:r>
      <w:proofErr w:type="spellEnd"/>
      <w:r w:rsidRPr="001F4758">
        <w:rPr>
          <w:sz w:val="24"/>
          <w:szCs w:val="24"/>
        </w:rPr>
        <w:t>.</w:t>
      </w:r>
    </w:p>
    <w:p w:rsidR="001F4758" w:rsidRPr="001F4758" w:rsidRDefault="001F4758" w:rsidP="001F4758">
      <w:pPr>
        <w:jc w:val="both"/>
        <w:rPr>
          <w:sz w:val="24"/>
          <w:szCs w:val="24"/>
        </w:rPr>
      </w:pP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  <w:t xml:space="preserve">                          SUDAC:</w:t>
      </w:r>
    </w:p>
    <w:p w:rsidR="001F4758" w:rsidRPr="001F4758" w:rsidRDefault="001F4758" w:rsidP="001F4758">
      <w:pPr>
        <w:jc w:val="both"/>
        <w:rPr>
          <w:sz w:val="24"/>
          <w:szCs w:val="24"/>
        </w:rPr>
      </w:pP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</w:r>
      <w:r w:rsidRPr="001F4758">
        <w:rPr>
          <w:sz w:val="24"/>
          <w:szCs w:val="24"/>
        </w:rPr>
        <w:tab/>
        <w:t xml:space="preserve">                        Ivan Ivić , v.r.</w:t>
      </w:r>
    </w:p>
    <w:p w:rsidR="001F4758" w:rsidRPr="001F4758" w:rsidRDefault="001F4758" w:rsidP="001F4758">
      <w:pPr>
        <w:rPr>
          <w:i/>
          <w:sz w:val="24"/>
          <w:szCs w:val="24"/>
        </w:rPr>
      </w:pPr>
      <w:r w:rsidRPr="001F4758">
        <w:rPr>
          <w:i/>
          <w:sz w:val="24"/>
          <w:szCs w:val="24"/>
        </w:rPr>
        <w:t>UPUTA O PRAVNOM  LIJEKU:</w:t>
      </w:r>
    </w:p>
    <w:p w:rsidR="001F4758" w:rsidRPr="001F4758" w:rsidRDefault="001F4758" w:rsidP="001F4758">
      <w:pPr>
        <w:rPr>
          <w:i/>
          <w:sz w:val="24"/>
          <w:szCs w:val="24"/>
        </w:rPr>
      </w:pPr>
      <w:r w:rsidRPr="001F4758">
        <w:rPr>
          <w:i/>
          <w:sz w:val="24"/>
          <w:szCs w:val="24"/>
        </w:rPr>
        <w:t xml:space="preserve">Protiv ovog zaključka nije dopuštena žalba (čl. </w:t>
      </w:r>
      <w:proofErr w:type="spellStart"/>
      <w:r w:rsidRPr="001F4758">
        <w:rPr>
          <w:i/>
          <w:sz w:val="24"/>
          <w:szCs w:val="24"/>
        </w:rPr>
        <w:t>18</w:t>
      </w:r>
      <w:proofErr w:type="spellEnd"/>
      <w:r w:rsidRPr="001F4758">
        <w:rPr>
          <w:i/>
          <w:sz w:val="24"/>
          <w:szCs w:val="24"/>
        </w:rPr>
        <w:t xml:space="preserve">. st 2. </w:t>
      </w:r>
      <w:proofErr w:type="spellStart"/>
      <w:r w:rsidRPr="001F4758">
        <w:rPr>
          <w:i/>
          <w:sz w:val="24"/>
          <w:szCs w:val="24"/>
        </w:rPr>
        <w:t>19</w:t>
      </w:r>
      <w:proofErr w:type="spellEnd"/>
      <w:r w:rsidRPr="001F4758">
        <w:rPr>
          <w:i/>
          <w:sz w:val="24"/>
          <w:szCs w:val="24"/>
        </w:rPr>
        <w:t xml:space="preserve">. st. 7. </w:t>
      </w:r>
      <w:proofErr w:type="spellStart"/>
      <w:r w:rsidRPr="001F4758">
        <w:rPr>
          <w:i/>
          <w:sz w:val="24"/>
          <w:szCs w:val="24"/>
        </w:rPr>
        <w:t>SZ</w:t>
      </w:r>
      <w:proofErr w:type="spellEnd"/>
      <w:r w:rsidRPr="001F4758">
        <w:rPr>
          <w:i/>
          <w:sz w:val="24"/>
          <w:szCs w:val="24"/>
        </w:rPr>
        <w:t>)</w:t>
      </w:r>
    </w:p>
    <w:p w:rsidR="001F4758" w:rsidRPr="001F4758" w:rsidRDefault="001F4758" w:rsidP="001F4758">
      <w:pPr>
        <w:jc w:val="both"/>
        <w:rPr>
          <w:sz w:val="24"/>
          <w:szCs w:val="24"/>
        </w:rPr>
      </w:pPr>
    </w:p>
    <w:p w:rsidR="001F4758" w:rsidRPr="001F4758" w:rsidRDefault="001F4758" w:rsidP="001F4758">
      <w:pPr>
        <w:jc w:val="both"/>
        <w:rPr>
          <w:i/>
          <w:sz w:val="24"/>
          <w:szCs w:val="24"/>
        </w:rPr>
      </w:pPr>
      <w:r w:rsidRPr="001F4758">
        <w:rPr>
          <w:sz w:val="24"/>
          <w:szCs w:val="24"/>
        </w:rPr>
        <w:t xml:space="preserve">       </w:t>
      </w:r>
      <w:r w:rsidRPr="001F4758">
        <w:rPr>
          <w:sz w:val="24"/>
          <w:szCs w:val="24"/>
        </w:rPr>
        <w:tab/>
      </w:r>
    </w:p>
    <w:p w:rsidR="001F4758" w:rsidRPr="001F4758" w:rsidRDefault="001F4758" w:rsidP="001F4758">
      <w:pPr>
        <w:jc w:val="both"/>
        <w:rPr>
          <w:sz w:val="24"/>
          <w:szCs w:val="24"/>
        </w:rPr>
      </w:pPr>
      <w:r w:rsidRPr="001F4758">
        <w:rPr>
          <w:sz w:val="24"/>
          <w:szCs w:val="24"/>
        </w:rPr>
        <w:t xml:space="preserve"> Za točnost </w:t>
      </w:r>
      <w:proofErr w:type="spellStart"/>
      <w:r w:rsidRPr="001F4758">
        <w:rPr>
          <w:sz w:val="24"/>
          <w:szCs w:val="24"/>
        </w:rPr>
        <w:t>otpravka</w:t>
      </w:r>
      <w:proofErr w:type="spellEnd"/>
      <w:r w:rsidRPr="001F4758">
        <w:rPr>
          <w:sz w:val="24"/>
          <w:szCs w:val="24"/>
        </w:rPr>
        <w:t>-ovlašteni službenik:</w:t>
      </w:r>
    </w:p>
    <w:p w:rsidR="001F4758" w:rsidRPr="001F4758" w:rsidRDefault="001F4758" w:rsidP="001F4758">
      <w:pPr>
        <w:jc w:val="both"/>
        <w:rPr>
          <w:sz w:val="24"/>
          <w:szCs w:val="24"/>
        </w:rPr>
      </w:pPr>
      <w:r w:rsidRPr="001F4758">
        <w:rPr>
          <w:sz w:val="24"/>
          <w:szCs w:val="24"/>
        </w:rPr>
        <w:t xml:space="preserve">                        Ana Vladić </w:t>
      </w:r>
    </w:p>
    <w:p w:rsidR="001F4758" w:rsidRPr="001F4758" w:rsidRDefault="001F4758" w:rsidP="001F4758">
      <w:pPr>
        <w:jc w:val="both"/>
        <w:rPr>
          <w:sz w:val="24"/>
          <w:szCs w:val="24"/>
        </w:rPr>
      </w:pPr>
    </w:p>
    <w:p w:rsidR="001F4758" w:rsidRPr="001F4758" w:rsidRDefault="001F4758" w:rsidP="001F4758">
      <w:pPr>
        <w:jc w:val="both"/>
        <w:rPr>
          <w:sz w:val="24"/>
          <w:szCs w:val="24"/>
        </w:rPr>
      </w:pPr>
    </w:p>
    <w:p w:rsidR="001F4758" w:rsidRPr="001F4758" w:rsidRDefault="001F4758" w:rsidP="001F4758">
      <w:pPr>
        <w:jc w:val="both"/>
        <w:rPr>
          <w:sz w:val="24"/>
          <w:szCs w:val="24"/>
        </w:rPr>
      </w:pPr>
      <w:r w:rsidRPr="001F4758">
        <w:rPr>
          <w:sz w:val="24"/>
          <w:szCs w:val="24"/>
        </w:rPr>
        <w:t>DNa:</w:t>
      </w:r>
    </w:p>
    <w:p w:rsidR="001F4758" w:rsidRPr="001F4758" w:rsidRDefault="001F4758" w:rsidP="001F4758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1F4758">
        <w:rPr>
          <w:sz w:val="24"/>
          <w:szCs w:val="24"/>
        </w:rPr>
        <w:t xml:space="preserve">Dužniku po punomoćniku, </w:t>
      </w:r>
    </w:p>
    <w:p w:rsidR="001F4758" w:rsidRDefault="001F4758" w:rsidP="00E94945">
      <w:pPr>
        <w:jc w:val="center"/>
        <w:rPr>
          <w:sz w:val="24"/>
          <w:szCs w:val="24"/>
        </w:rPr>
      </w:pPr>
    </w:p>
    <w:p w:rsidR="001F4758" w:rsidRDefault="001F4758" w:rsidP="00E94945">
      <w:pPr>
        <w:jc w:val="center"/>
        <w:rPr>
          <w:sz w:val="24"/>
          <w:szCs w:val="24"/>
        </w:rPr>
      </w:pPr>
    </w:p>
    <w:p w:rsidR="001F4758" w:rsidRDefault="001F4758" w:rsidP="00E94945">
      <w:pPr>
        <w:jc w:val="center"/>
        <w:rPr>
          <w:sz w:val="24"/>
          <w:szCs w:val="24"/>
        </w:rPr>
      </w:pPr>
    </w:p>
    <w:p w:rsidR="001F4758" w:rsidRDefault="001F4758" w:rsidP="00E94945">
      <w:pPr>
        <w:jc w:val="center"/>
        <w:rPr>
          <w:sz w:val="24"/>
          <w:szCs w:val="24"/>
        </w:rPr>
      </w:pPr>
    </w:p>
    <w:p w:rsidR="001F4758" w:rsidRDefault="001F4758" w:rsidP="00E94945">
      <w:pPr>
        <w:jc w:val="center"/>
        <w:rPr>
          <w:sz w:val="24"/>
          <w:szCs w:val="24"/>
        </w:rPr>
      </w:pPr>
    </w:p>
    <w:p w:rsidR="001F4758" w:rsidRDefault="001F4758" w:rsidP="00E94945">
      <w:pPr>
        <w:jc w:val="center"/>
        <w:rPr>
          <w:sz w:val="24"/>
          <w:szCs w:val="24"/>
        </w:rPr>
      </w:pPr>
    </w:p>
    <w:p w:rsidR="001F4758" w:rsidRDefault="001F4758" w:rsidP="00E94945">
      <w:pPr>
        <w:jc w:val="center"/>
        <w:rPr>
          <w:sz w:val="24"/>
          <w:szCs w:val="24"/>
        </w:rPr>
      </w:pPr>
    </w:p>
    <w:p w:rsidR="001F4758" w:rsidRDefault="001F4758" w:rsidP="00E94945">
      <w:pPr>
        <w:jc w:val="center"/>
        <w:rPr>
          <w:sz w:val="24"/>
          <w:szCs w:val="24"/>
        </w:rPr>
      </w:pPr>
    </w:p>
    <w:p w:rsidR="001F4758" w:rsidRDefault="001F4758" w:rsidP="00E94945">
      <w:pPr>
        <w:jc w:val="center"/>
        <w:rPr>
          <w:sz w:val="24"/>
          <w:szCs w:val="24"/>
        </w:rPr>
      </w:pPr>
    </w:p>
    <w:p w:rsidR="001F4758" w:rsidRDefault="001F4758" w:rsidP="00E94945">
      <w:pPr>
        <w:jc w:val="center"/>
        <w:rPr>
          <w:sz w:val="24"/>
          <w:szCs w:val="24"/>
        </w:rPr>
      </w:pPr>
    </w:p>
    <w:p w:rsidR="001F4758" w:rsidRDefault="001F4758" w:rsidP="00E94945">
      <w:pPr>
        <w:jc w:val="center"/>
        <w:rPr>
          <w:sz w:val="24"/>
          <w:szCs w:val="24"/>
        </w:rPr>
      </w:pPr>
    </w:p>
    <w:p w:rsidR="001F4758" w:rsidRDefault="001F4758" w:rsidP="00E94945">
      <w:pPr>
        <w:jc w:val="center"/>
        <w:rPr>
          <w:sz w:val="24"/>
          <w:szCs w:val="24"/>
        </w:rPr>
      </w:pPr>
    </w:p>
    <w:p w:rsidR="001F4758" w:rsidRDefault="001F4758" w:rsidP="00E94945">
      <w:pPr>
        <w:jc w:val="center"/>
        <w:rPr>
          <w:sz w:val="24"/>
          <w:szCs w:val="24"/>
        </w:rPr>
      </w:pPr>
    </w:p>
    <w:p w:rsidR="001F4758" w:rsidRDefault="001F4758" w:rsidP="00E94945">
      <w:pPr>
        <w:jc w:val="center"/>
        <w:rPr>
          <w:sz w:val="24"/>
          <w:szCs w:val="24"/>
        </w:rPr>
      </w:pPr>
    </w:p>
    <w:sectPr w:rsidR="001F4758" w:rsidSect="004832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3B0"/>
    <w:multiLevelType w:val="hybridMultilevel"/>
    <w:tmpl w:val="9DD8D76A"/>
    <w:lvl w:ilvl="0" w:tplc="C7663E4E">
      <w:start w:val="1"/>
      <w:numFmt w:val="upperRoman"/>
      <w:lvlText w:val="%1.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64E7"/>
    <w:multiLevelType w:val="hybridMultilevel"/>
    <w:tmpl w:val="72B0429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B0516"/>
    <w:multiLevelType w:val="hybridMultilevel"/>
    <w:tmpl w:val="84AE881C"/>
    <w:lvl w:ilvl="0" w:tplc="4B24344A">
      <w:start w:val="1"/>
      <w:numFmt w:val="decimal"/>
      <w:lvlText w:val="%1."/>
      <w:lvlJc w:val="left"/>
      <w:pPr>
        <w:ind w:left="1789" w:hanging="360"/>
      </w:pPr>
    </w:lvl>
    <w:lvl w:ilvl="1" w:tplc="041A0019">
      <w:start w:val="1"/>
      <w:numFmt w:val="lowerLetter"/>
      <w:lvlText w:val="%2."/>
      <w:lvlJc w:val="left"/>
      <w:pPr>
        <w:ind w:left="2509" w:hanging="360"/>
      </w:pPr>
    </w:lvl>
    <w:lvl w:ilvl="2" w:tplc="041A001B">
      <w:start w:val="1"/>
      <w:numFmt w:val="lowerRoman"/>
      <w:lvlText w:val="%3."/>
      <w:lvlJc w:val="right"/>
      <w:pPr>
        <w:ind w:left="3229" w:hanging="180"/>
      </w:pPr>
    </w:lvl>
    <w:lvl w:ilvl="3" w:tplc="041A000F">
      <w:start w:val="1"/>
      <w:numFmt w:val="decimal"/>
      <w:lvlText w:val="%4."/>
      <w:lvlJc w:val="left"/>
      <w:pPr>
        <w:ind w:left="3949" w:hanging="360"/>
      </w:pPr>
    </w:lvl>
    <w:lvl w:ilvl="4" w:tplc="041A0019">
      <w:start w:val="1"/>
      <w:numFmt w:val="lowerLetter"/>
      <w:lvlText w:val="%5."/>
      <w:lvlJc w:val="left"/>
      <w:pPr>
        <w:ind w:left="4669" w:hanging="360"/>
      </w:pPr>
    </w:lvl>
    <w:lvl w:ilvl="5" w:tplc="041A001B">
      <w:start w:val="1"/>
      <w:numFmt w:val="lowerRoman"/>
      <w:lvlText w:val="%6."/>
      <w:lvlJc w:val="right"/>
      <w:pPr>
        <w:ind w:left="5389" w:hanging="180"/>
      </w:pPr>
    </w:lvl>
    <w:lvl w:ilvl="6" w:tplc="041A000F">
      <w:start w:val="1"/>
      <w:numFmt w:val="decimal"/>
      <w:lvlText w:val="%7."/>
      <w:lvlJc w:val="left"/>
      <w:pPr>
        <w:ind w:left="6109" w:hanging="360"/>
      </w:pPr>
    </w:lvl>
    <w:lvl w:ilvl="7" w:tplc="041A0019">
      <w:start w:val="1"/>
      <w:numFmt w:val="lowerLetter"/>
      <w:lvlText w:val="%8."/>
      <w:lvlJc w:val="left"/>
      <w:pPr>
        <w:ind w:left="6829" w:hanging="360"/>
      </w:pPr>
    </w:lvl>
    <w:lvl w:ilvl="8" w:tplc="041A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CE946C3"/>
    <w:multiLevelType w:val="hybridMultilevel"/>
    <w:tmpl w:val="407E756A"/>
    <w:lvl w:ilvl="0" w:tplc="F266D282">
      <w:start w:val="1"/>
      <w:numFmt w:val="lowerLetter"/>
      <w:lvlText w:val="%1.)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117A42"/>
    <w:multiLevelType w:val="hybridMultilevel"/>
    <w:tmpl w:val="C9486FC4"/>
    <w:lvl w:ilvl="0" w:tplc="BEA2C63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7E"/>
    <w:rsid w:val="000646DE"/>
    <w:rsid w:val="00157F4D"/>
    <w:rsid w:val="00182123"/>
    <w:rsid w:val="001B1A0A"/>
    <w:rsid w:val="001D6B59"/>
    <w:rsid w:val="001E2E5C"/>
    <w:rsid w:val="001F4758"/>
    <w:rsid w:val="00202D38"/>
    <w:rsid w:val="00226583"/>
    <w:rsid w:val="00255722"/>
    <w:rsid w:val="0026286A"/>
    <w:rsid w:val="004473B7"/>
    <w:rsid w:val="004665B3"/>
    <w:rsid w:val="004832C8"/>
    <w:rsid w:val="004B65E5"/>
    <w:rsid w:val="00680518"/>
    <w:rsid w:val="006C62DD"/>
    <w:rsid w:val="00720798"/>
    <w:rsid w:val="0076427E"/>
    <w:rsid w:val="008962E3"/>
    <w:rsid w:val="008E75D6"/>
    <w:rsid w:val="00916EFB"/>
    <w:rsid w:val="00A81F16"/>
    <w:rsid w:val="00AA71D3"/>
    <w:rsid w:val="00BB6885"/>
    <w:rsid w:val="00C00A5D"/>
    <w:rsid w:val="00C13612"/>
    <w:rsid w:val="00C57139"/>
    <w:rsid w:val="00C66594"/>
    <w:rsid w:val="00D127D6"/>
    <w:rsid w:val="00E555B5"/>
    <w:rsid w:val="00E94945"/>
    <w:rsid w:val="00EE393C"/>
    <w:rsid w:val="00F2517C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42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6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5E5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8E75D6"/>
    <w:rPr>
      <w:color w:val="0000FF" w:themeColor="hyperlink"/>
      <w:u w:val="single"/>
    </w:rPr>
  </w:style>
  <w:style w:type="paragraph" w:styleId="Podnaslov">
    <w:name w:val="Subtitle"/>
    <w:basedOn w:val="Normal"/>
    <w:link w:val="PodnaslovChar"/>
    <w:qFormat/>
    <w:rsid w:val="00C00A5D"/>
    <w:pPr>
      <w:overflowPunct/>
      <w:autoSpaceDE/>
      <w:autoSpaceDN/>
      <w:adjustRightInd/>
      <w:jc w:val="both"/>
      <w:textAlignment w:val="auto"/>
    </w:pPr>
    <w:rPr>
      <w:rFonts w:ascii="Tahoma" w:hAnsi="Tahoma"/>
      <w:b/>
      <w:color w:val="0000FF"/>
      <w:sz w:val="24"/>
    </w:rPr>
  </w:style>
  <w:style w:type="character" w:customStyle="1" w:styleId="PodnaslovChar">
    <w:name w:val="Podnaslov Char"/>
    <w:basedOn w:val="Zadanifontodlomka"/>
    <w:link w:val="Podnaslov"/>
    <w:rsid w:val="00C00A5D"/>
    <w:rPr>
      <w:rFonts w:ascii="Tahoma" w:eastAsia="Times New Roman" w:hAnsi="Tahoma" w:cs="Times New Roman"/>
      <w:b/>
      <w:color w:val="0000FF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F4758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F4758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42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6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5E5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8E75D6"/>
    <w:rPr>
      <w:color w:val="0000FF" w:themeColor="hyperlink"/>
      <w:u w:val="single"/>
    </w:rPr>
  </w:style>
  <w:style w:type="paragraph" w:styleId="Podnaslov">
    <w:name w:val="Subtitle"/>
    <w:basedOn w:val="Normal"/>
    <w:link w:val="PodnaslovChar"/>
    <w:qFormat/>
    <w:rsid w:val="00C00A5D"/>
    <w:pPr>
      <w:overflowPunct/>
      <w:autoSpaceDE/>
      <w:autoSpaceDN/>
      <w:adjustRightInd/>
      <w:jc w:val="both"/>
      <w:textAlignment w:val="auto"/>
    </w:pPr>
    <w:rPr>
      <w:rFonts w:ascii="Tahoma" w:hAnsi="Tahoma"/>
      <w:b/>
      <w:color w:val="0000FF"/>
      <w:sz w:val="24"/>
    </w:rPr>
  </w:style>
  <w:style w:type="character" w:customStyle="1" w:styleId="PodnaslovChar">
    <w:name w:val="Podnaslov Char"/>
    <w:basedOn w:val="Zadanifontodlomka"/>
    <w:link w:val="Podnaslov"/>
    <w:rsid w:val="00C00A5D"/>
    <w:rPr>
      <w:rFonts w:ascii="Tahoma" w:eastAsia="Times New Roman" w:hAnsi="Tahoma" w:cs="Times New Roman"/>
      <w:b/>
      <w:color w:val="0000FF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F4758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F4758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Ribarić</dc:creator>
  <cp:lastModifiedBy>Nino Radić</cp:lastModifiedBy>
  <cp:revision>5</cp:revision>
  <cp:lastPrinted>2015-11-18T13:46:00Z</cp:lastPrinted>
  <dcterms:created xsi:type="dcterms:W3CDTF">2016-02-01T10:53:00Z</dcterms:created>
  <dcterms:modified xsi:type="dcterms:W3CDTF">2016-02-01T15:21:00Z</dcterms:modified>
</cp:coreProperties>
</file>